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upplementary-material"/>
    <w:p>
      <w:pPr>
        <w:pStyle w:val="Heading1"/>
      </w:pPr>
      <w:r>
        <w:t xml:space="preserve">Supplementary material</w:t>
      </w:r>
    </w:p>
    <w:p>
      <w:pPr>
        <w:pStyle w:val="FirstParagraph"/>
      </w:pPr>
      <w:r>
        <w:t xml:space="preserve">Catastrophic health spending, impoverishment and the unpaid-care economy among older adults in India.</w:t>
      </w:r>
    </w:p>
    <w:bookmarkStart w:id="9" w:name="s1.-variable-definitions"/>
    <w:p>
      <w:pPr>
        <w:pStyle w:val="Heading2"/>
      </w:pPr>
      <w:r>
        <w:t xml:space="preserve">S1. Variable definitions</w:t>
      </w:r>
    </w:p>
    <w:p>
      <w:pPr>
        <w:pStyle w:val="Compact"/>
        <w:numPr>
          <w:ilvl w:val="0"/>
          <w:numId w:val="1001"/>
        </w:numPr>
      </w:pPr>
      <w:r>
        <w:rPr>
          <w:b/>
          <w:bCs/>
        </w:rPr>
        <w:t xml:space="preserve">Out-of-pocket spending (household, annual):</w:t>
      </w:r>
      <w:r>
        <w:t xml:space="preserve"> </w:t>
      </w:r>
      <w:r>
        <w:t xml:space="preserve">household inpatient cost over the previous year plus household outpatient cost (doctors’ fees, diagnostics and medicines obtained during treatment) over the previous 30 days, multiplied by 12. Deflated to constant 2017 rupees.</w:t>
      </w:r>
    </w:p>
    <w:p>
      <w:pPr>
        <w:pStyle w:val="Compact"/>
        <w:numPr>
          <w:ilvl w:val="0"/>
          <w:numId w:val="1001"/>
        </w:numPr>
      </w:pPr>
      <w:r>
        <w:rPr>
          <w:b/>
          <w:bCs/>
        </w:rPr>
        <w:t xml:space="preserve">Capacity to pay:</w:t>
      </w:r>
      <w:r>
        <w:t xml:space="preserve"> </w:t>
      </w:r>
      <w:r>
        <w:t xml:space="preserve">non-food consumption, defined as total household consumption minus annual food expenditure (WHO method).</w:t>
      </w:r>
    </w:p>
    <w:p>
      <w:pPr>
        <w:pStyle w:val="Compact"/>
        <w:numPr>
          <w:ilvl w:val="0"/>
          <w:numId w:val="1001"/>
        </w:numPr>
      </w:pPr>
      <w:r>
        <w:rPr>
          <w:b/>
          <w:bCs/>
        </w:rPr>
        <w:t xml:space="preserve">Catastrophic health expenditure (CHE):</w:t>
      </w:r>
      <w:r>
        <w:t xml:space="preserve"> </w:t>
      </w:r>
      <w:r>
        <w:t xml:space="preserve">out-of-pocket spending above 10 and above 25 per cent of total consumption (budget-share definitions), and above 40 per cent of capacity to pay (WHO definition).</w:t>
      </w:r>
    </w:p>
    <w:p>
      <w:pPr>
        <w:pStyle w:val="Compact"/>
        <w:numPr>
          <w:ilvl w:val="0"/>
          <w:numId w:val="1001"/>
        </w:numPr>
      </w:pPr>
      <w:r>
        <w:rPr>
          <w:b/>
          <w:bCs/>
        </w:rPr>
        <w:t xml:space="preserve">Impoverishment:</w:t>
      </w:r>
      <w:r>
        <w:t xml:space="preserve"> </w:t>
      </w:r>
      <w:r>
        <w:t xml:space="preserve">the rise in the share of older adults whose per-capita consumption falls below the poverty line once per-capita out-of-pocket spending is subtracted. The poverty line (Rs 18,307 per capita per year, constant 2017 rupees) was anchored to the survey’s own poverty measure.</w:t>
      </w:r>
    </w:p>
    <w:p>
      <w:pPr>
        <w:pStyle w:val="Compact"/>
        <w:numPr>
          <w:ilvl w:val="0"/>
          <w:numId w:val="1001"/>
        </w:numPr>
      </w:pPr>
      <w:r>
        <w:rPr>
          <w:b/>
          <w:bCs/>
        </w:rPr>
        <w:t xml:space="preserve">Concentration and Erreygers indices:</w:t>
      </w:r>
      <w:r>
        <w:t xml:space="preserve"> </w:t>
      </w:r>
      <w:r>
        <w:t xml:space="preserve">computed for the binary CHE40 outcome, ranking households by per-capita consumption (positive = concentrated among the better-off).</w:t>
      </w:r>
    </w:p>
    <w:bookmarkEnd w:id="9"/>
    <w:bookmarkStart w:id="10" w:name="Xe047b2c7cddc94c4bb7867109ccff1f7a5e6a7f"/>
    <w:p>
      <w:pPr>
        <w:pStyle w:val="Heading2"/>
      </w:pPr>
      <w:r>
        <w:t xml:space="preserve">S2. Sensitivity: adults aged 45 yr and over (n=66,470)</w:t>
      </w:r>
    </w:p>
    <w:p>
      <w:pPr>
        <w:pStyle w:val="FirstParagraph"/>
      </w:pPr>
      <w:r>
        <w:t xml:space="preserve">The analysis was repeated on the full LASI Wave 1 sample of adults aged 45 yr and over. The pattern was unchanged; the burden was somewhat lower than at 60+, consistent with a rising burden with 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Measure</w:t>
            </w:r>
          </w:p>
        </w:tc>
        <w:tc>
          <w:tcPr/>
          <w:p>
            <w:pPr>
              <w:pStyle w:val="Compact"/>
              <w:jc w:val="right"/>
            </w:pPr>
            <w:r>
              <w:t xml:space="preserve">45+ frame</w:t>
            </w:r>
          </w:p>
        </w:tc>
        <w:tc>
          <w:tcPr/>
          <w:p>
            <w:pPr>
              <w:pStyle w:val="Compact"/>
              <w:jc w:val="right"/>
            </w:pPr>
            <w:r>
              <w:t xml:space="preserve">60+ (main)</w:t>
            </w:r>
          </w:p>
        </w:tc>
      </w:tr>
      <w:tr>
        <w:tc>
          <w:tcPr/>
          <w:p>
            <w:pPr>
              <w:pStyle w:val="Compact"/>
              <w:jc w:val="left"/>
            </w:pPr>
            <w:r>
              <w:t xml:space="preserve">CHE &gt;10% consumption, %</w:t>
            </w:r>
          </w:p>
        </w:tc>
        <w:tc>
          <w:tcPr/>
          <w:p>
            <w:pPr>
              <w:pStyle w:val="Compact"/>
              <w:jc w:val="right"/>
            </w:pPr>
            <w:r>
              <w:t xml:space="preserve">32.3</w:t>
            </w:r>
          </w:p>
        </w:tc>
        <w:tc>
          <w:tcPr/>
          <w:p>
            <w:pPr>
              <w:pStyle w:val="Compact"/>
              <w:jc w:val="right"/>
            </w:pPr>
            <w:r>
              <w:t xml:space="preserve">35.7</w:t>
            </w:r>
          </w:p>
        </w:tc>
      </w:tr>
      <w:tr>
        <w:tc>
          <w:tcPr/>
          <w:p>
            <w:pPr>
              <w:pStyle w:val="Compact"/>
              <w:jc w:val="left"/>
            </w:pPr>
            <w:r>
              <w:t xml:space="preserve">CHE &gt;25% consumption, %</w:t>
            </w:r>
          </w:p>
        </w:tc>
        <w:tc>
          <w:tcPr/>
          <w:p>
            <w:pPr>
              <w:pStyle w:val="Compact"/>
              <w:jc w:val="right"/>
            </w:pPr>
            <w:r>
              <w:t xml:space="preserve">11.6</w:t>
            </w:r>
          </w:p>
        </w:tc>
        <w:tc>
          <w:tcPr/>
          <w:p>
            <w:pPr>
              <w:pStyle w:val="Compact"/>
              <w:jc w:val="right"/>
            </w:pPr>
            <w:r>
              <w:t xml:space="preserve">13.7</w:t>
            </w:r>
          </w:p>
        </w:tc>
      </w:tr>
      <w:tr>
        <w:tc>
          <w:tcPr/>
          <w:p>
            <w:pPr>
              <w:pStyle w:val="Compact"/>
              <w:jc w:val="left"/>
            </w:pPr>
            <w:r>
              <w:t xml:space="preserve">CHE &gt;40% capacity, %</w:t>
            </w:r>
          </w:p>
        </w:tc>
        <w:tc>
          <w:tcPr/>
          <w:p>
            <w:pPr>
              <w:pStyle w:val="Compact"/>
              <w:jc w:val="right"/>
            </w:pPr>
            <w:r>
              <w:t xml:space="preserve">17.3</w:t>
            </w:r>
          </w:p>
        </w:tc>
        <w:tc>
          <w:tcPr/>
          <w:p>
            <w:pPr>
              <w:pStyle w:val="Compact"/>
              <w:jc w:val="right"/>
            </w:pPr>
            <w:r>
              <w:t xml:space="preserve">20.7</w:t>
            </w:r>
          </w:p>
        </w:tc>
      </w:tr>
      <w:tr>
        <w:tc>
          <w:tcPr/>
          <w:p>
            <w:pPr>
              <w:pStyle w:val="Compact"/>
              <w:jc w:val="left"/>
            </w:pPr>
            <w:r>
              <w:t xml:space="preserve">Out-of-pocket impoverishment, pp</w:t>
            </w:r>
          </w:p>
        </w:tc>
        <w:tc>
          <w:tcPr/>
          <w:p>
            <w:pPr>
              <w:pStyle w:val="Compact"/>
              <w:jc w:val="right"/>
            </w:pPr>
            <w:r>
              <w:t xml:space="preserve">5.0</w:t>
            </w:r>
          </w:p>
        </w:tc>
        <w:tc>
          <w:tcPr/>
          <w:p>
            <w:pPr>
              <w:pStyle w:val="Compact"/>
              <w:jc w:val="right"/>
            </w:pPr>
            <w:r>
              <w:t xml:space="preserve">5.8</w:t>
            </w:r>
          </w:p>
        </w:tc>
      </w:tr>
    </w:tbl>
    <w:bookmarkEnd w:id="10"/>
    <w:bookmarkStart w:id="11" w:name="X01c2323ecb6a72f08a89f153b5ca8f289b84a31"/>
    <w:p>
      <w:pPr>
        <w:pStyle w:val="Heading2"/>
      </w:pPr>
      <w:r>
        <w:t xml:space="preserve">S3. Full State/UT ranking by catastrophic spending (n ≥ 150)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State/UT</w:t>
            </w:r>
          </w:p>
        </w:tc>
        <w:tc>
          <w:tcPr/>
          <w:p>
            <w:pPr>
              <w:pStyle w:val="Compact"/>
              <w:jc w:val="right"/>
            </w:pPr>
            <w:r>
              <w:t xml:space="preserve">n</w:t>
            </w:r>
          </w:p>
        </w:tc>
        <w:tc>
          <w:tcPr/>
          <w:p>
            <w:pPr>
              <w:pStyle w:val="Compact"/>
              <w:jc w:val="right"/>
            </w:pPr>
            <w:r>
              <w:t xml:space="preserve">CHE &gt;40% capacity, %</w:t>
            </w:r>
          </w:p>
        </w:tc>
        <w:tc>
          <w:tcPr/>
          <w:p>
            <w:pPr>
              <w:pStyle w:val="Compact"/>
              <w:jc w:val="right"/>
            </w:pPr>
            <w:r>
              <w:t xml:space="preserve">CHE &gt;10% consumption, %</w:t>
            </w:r>
          </w:p>
        </w:tc>
      </w:tr>
      <w:tr>
        <w:tc>
          <w:tcPr/>
          <w:p>
            <w:pPr>
              <w:pStyle w:val="Compact"/>
              <w:jc w:val="left"/>
            </w:pPr>
            <w:r>
              <w:t xml:space="preserve">Bihar</w:t>
            </w:r>
          </w:p>
        </w:tc>
        <w:tc>
          <w:tcPr/>
          <w:p>
            <w:pPr>
              <w:pStyle w:val="Compact"/>
              <w:jc w:val="right"/>
            </w:pPr>
            <w:r>
              <w:t xml:space="preserve">1802</w:t>
            </w:r>
          </w:p>
        </w:tc>
        <w:tc>
          <w:tcPr/>
          <w:p>
            <w:pPr>
              <w:pStyle w:val="Compact"/>
              <w:jc w:val="right"/>
            </w:pPr>
            <w:r>
              <w:t xml:space="preserve">28.5</w:t>
            </w:r>
          </w:p>
        </w:tc>
        <w:tc>
          <w:tcPr/>
          <w:p>
            <w:pPr>
              <w:pStyle w:val="Compact"/>
              <w:jc w:val="right"/>
            </w:pPr>
            <w:r>
              <w:t xml:space="preserve">41.4</w:t>
            </w:r>
          </w:p>
        </w:tc>
      </w:tr>
      <w:tr>
        <w:tc>
          <w:tcPr/>
          <w:p>
            <w:pPr>
              <w:pStyle w:val="Compact"/>
              <w:jc w:val="left"/>
            </w:pPr>
            <w:r>
              <w:t xml:space="preserve">Jammu &amp; Kashmir</w:t>
            </w:r>
          </w:p>
        </w:tc>
        <w:tc>
          <w:tcPr/>
          <w:p>
            <w:pPr>
              <w:pStyle w:val="Compact"/>
              <w:jc w:val="right"/>
            </w:pPr>
            <w:r>
              <w:t xml:space="preserve">726</w:t>
            </w:r>
          </w:p>
        </w:tc>
        <w:tc>
          <w:tcPr/>
          <w:p>
            <w:pPr>
              <w:pStyle w:val="Compact"/>
              <w:jc w:val="right"/>
            </w:pPr>
            <w:r>
              <w:t xml:space="preserve">27.6</w:t>
            </w:r>
          </w:p>
        </w:tc>
        <w:tc>
          <w:tcPr/>
          <w:p>
            <w:pPr>
              <w:pStyle w:val="Compact"/>
              <w:jc w:val="right"/>
            </w:pPr>
            <w:r>
              <w:t xml:space="preserve">48.3</w:t>
            </w:r>
          </w:p>
        </w:tc>
      </w:tr>
      <w:tr>
        <w:tc>
          <w:tcPr/>
          <w:p>
            <w:pPr>
              <w:pStyle w:val="Compact"/>
              <w:jc w:val="left"/>
            </w:pPr>
            <w:r>
              <w:t xml:space="preserve">West Bengal</w:t>
            </w:r>
          </w:p>
        </w:tc>
        <w:tc>
          <w:tcPr/>
          <w:p>
            <w:pPr>
              <w:pStyle w:val="Compact"/>
              <w:jc w:val="right"/>
            </w:pPr>
            <w:r>
              <w:t xml:space="preserve">1533</w:t>
            </w:r>
          </w:p>
        </w:tc>
        <w:tc>
          <w:tcPr/>
          <w:p>
            <w:pPr>
              <w:pStyle w:val="Compact"/>
              <w:jc w:val="right"/>
            </w:pPr>
            <w:r>
              <w:t xml:space="preserve">27.4</w:t>
            </w:r>
          </w:p>
        </w:tc>
        <w:tc>
          <w:tcPr/>
          <w:p>
            <w:pPr>
              <w:pStyle w:val="Compact"/>
              <w:jc w:val="right"/>
            </w:pPr>
            <w:r>
              <w:t xml:space="preserve">42.9</w:t>
            </w:r>
          </w:p>
        </w:tc>
      </w:tr>
      <w:tr>
        <w:tc>
          <w:tcPr/>
          <w:p>
            <w:pPr>
              <w:pStyle w:val="Compact"/>
              <w:jc w:val="left"/>
            </w:pPr>
            <w:r>
              <w:t xml:space="preserve">Uttar Pradesh</w:t>
            </w:r>
          </w:p>
        </w:tc>
        <w:tc>
          <w:tcPr/>
          <w:p>
            <w:pPr>
              <w:pStyle w:val="Compact"/>
              <w:jc w:val="right"/>
            </w:pPr>
            <w:r>
              <w:t xml:space="preserve">2152</w:t>
            </w:r>
          </w:p>
        </w:tc>
        <w:tc>
          <w:tcPr/>
          <w:p>
            <w:pPr>
              <w:pStyle w:val="Compact"/>
              <w:jc w:val="right"/>
            </w:pPr>
            <w:r>
              <w:t xml:space="preserve">27.0</w:t>
            </w:r>
          </w:p>
        </w:tc>
        <w:tc>
          <w:tcPr/>
          <w:p>
            <w:pPr>
              <w:pStyle w:val="Compact"/>
              <w:jc w:val="right"/>
            </w:pPr>
            <w:r>
              <w:t xml:space="preserve">41.8</w:t>
            </w:r>
          </w:p>
        </w:tc>
      </w:tr>
      <w:tr>
        <w:tc>
          <w:tcPr/>
          <w:p>
            <w:pPr>
              <w:pStyle w:val="Compact"/>
              <w:jc w:val="left"/>
            </w:pPr>
            <w:r>
              <w:t xml:space="preserve">Kerala</w:t>
            </w:r>
          </w:p>
        </w:tc>
        <w:tc>
          <w:tcPr/>
          <w:p>
            <w:pPr>
              <w:pStyle w:val="Compact"/>
              <w:jc w:val="right"/>
            </w:pPr>
            <w:r>
              <w:t xml:space="preserve">1204</w:t>
            </w:r>
          </w:p>
        </w:tc>
        <w:tc>
          <w:tcPr/>
          <w:p>
            <w:pPr>
              <w:pStyle w:val="Compact"/>
              <w:jc w:val="right"/>
            </w:pPr>
            <w:r>
              <w:t xml:space="preserve">25.9</w:t>
            </w:r>
          </w:p>
        </w:tc>
        <w:tc>
          <w:tcPr/>
          <w:p>
            <w:pPr>
              <w:pStyle w:val="Compact"/>
              <w:jc w:val="right"/>
            </w:pPr>
            <w:r>
              <w:t xml:space="preserve">46.7</w:t>
            </w:r>
          </w:p>
        </w:tc>
      </w:tr>
      <w:tr>
        <w:tc>
          <w:tcPr/>
          <w:p>
            <w:pPr>
              <w:pStyle w:val="Compact"/>
              <w:jc w:val="left"/>
            </w:pPr>
            <w:r>
              <w:t xml:space="preserve">Maharashtra</w:t>
            </w:r>
          </w:p>
        </w:tc>
        <w:tc>
          <w:tcPr/>
          <w:p>
            <w:pPr>
              <w:pStyle w:val="Compact"/>
              <w:jc w:val="right"/>
            </w:pPr>
            <w:r>
              <w:t xml:space="preserve">1788</w:t>
            </w:r>
          </w:p>
        </w:tc>
        <w:tc>
          <w:tcPr/>
          <w:p>
            <w:pPr>
              <w:pStyle w:val="Compact"/>
              <w:jc w:val="right"/>
            </w:pPr>
            <w:r>
              <w:t xml:space="preserve">24.0</w:t>
            </w:r>
          </w:p>
        </w:tc>
        <w:tc>
          <w:tcPr/>
          <w:p>
            <w:pPr>
              <w:pStyle w:val="Compact"/>
              <w:jc w:val="right"/>
            </w:pPr>
            <w:r>
              <w:t xml:space="preserve">43.2</w:t>
            </w:r>
          </w:p>
        </w:tc>
      </w:tr>
      <w:tr>
        <w:tc>
          <w:tcPr/>
          <w:p>
            <w:pPr>
              <w:pStyle w:val="Compact"/>
              <w:jc w:val="left"/>
            </w:pPr>
            <w:r>
              <w:t xml:space="preserve">Telangana</w:t>
            </w:r>
          </w:p>
        </w:tc>
        <w:tc>
          <w:tcPr/>
          <w:p>
            <w:pPr>
              <w:pStyle w:val="Compact"/>
              <w:jc w:val="right"/>
            </w:pPr>
            <w:r>
              <w:t xml:space="preserve">1055</w:t>
            </w:r>
          </w:p>
        </w:tc>
        <w:tc>
          <w:tcPr/>
          <w:p>
            <w:pPr>
              <w:pStyle w:val="Compact"/>
              <w:jc w:val="right"/>
            </w:pPr>
            <w:r>
              <w:t xml:space="preserve">23.4</w:t>
            </w:r>
          </w:p>
        </w:tc>
        <w:tc>
          <w:tcPr/>
          <w:p>
            <w:pPr>
              <w:pStyle w:val="Compact"/>
              <w:jc w:val="right"/>
            </w:pPr>
            <w:r>
              <w:t xml:space="preserve">38.7</w:t>
            </w:r>
          </w:p>
        </w:tc>
      </w:tr>
      <w:tr>
        <w:tc>
          <w:tcPr/>
          <w:p>
            <w:pPr>
              <w:pStyle w:val="Compact"/>
              <w:jc w:val="left"/>
            </w:pPr>
            <w:r>
              <w:t xml:space="preserve">Odisha</w:t>
            </w:r>
          </w:p>
        </w:tc>
        <w:tc>
          <w:tcPr/>
          <w:p>
            <w:pPr>
              <w:pStyle w:val="Compact"/>
              <w:jc w:val="right"/>
            </w:pPr>
            <w:r>
              <w:t xml:space="preserve">1234</w:t>
            </w:r>
          </w:p>
        </w:tc>
        <w:tc>
          <w:tcPr/>
          <w:p>
            <w:pPr>
              <w:pStyle w:val="Compact"/>
              <w:jc w:val="right"/>
            </w:pPr>
            <w:r>
              <w:t xml:space="preserve">20.8</w:t>
            </w:r>
          </w:p>
        </w:tc>
        <w:tc>
          <w:tcPr/>
          <w:p>
            <w:pPr>
              <w:pStyle w:val="Compact"/>
              <w:jc w:val="right"/>
            </w:pPr>
            <w:r>
              <w:t xml:space="preserve">35.3</w:t>
            </w:r>
          </w:p>
        </w:tc>
      </w:tr>
      <w:tr>
        <w:tc>
          <w:tcPr/>
          <w:p>
            <w:pPr>
              <w:pStyle w:val="Compact"/>
              <w:jc w:val="left"/>
            </w:pPr>
            <w:r>
              <w:t xml:space="preserve">Punjab</w:t>
            </w:r>
          </w:p>
        </w:tc>
        <w:tc>
          <w:tcPr/>
          <w:p>
            <w:pPr>
              <w:pStyle w:val="Compact"/>
              <w:jc w:val="right"/>
            </w:pPr>
            <w:r>
              <w:t xml:space="preserve">1001</w:t>
            </w:r>
          </w:p>
        </w:tc>
        <w:tc>
          <w:tcPr/>
          <w:p>
            <w:pPr>
              <w:pStyle w:val="Compact"/>
              <w:jc w:val="right"/>
            </w:pPr>
            <w:r>
              <w:t xml:space="preserve">19.2</w:t>
            </w:r>
          </w:p>
        </w:tc>
        <w:tc>
          <w:tcPr/>
          <w:p>
            <w:pPr>
              <w:pStyle w:val="Compact"/>
              <w:jc w:val="right"/>
            </w:pPr>
            <w:r>
              <w:t xml:space="preserve">39.3</w:t>
            </w:r>
          </w:p>
        </w:tc>
      </w:tr>
      <w:tr>
        <w:tc>
          <w:tcPr/>
          <w:p>
            <w:pPr>
              <w:pStyle w:val="Compact"/>
              <w:jc w:val="left"/>
            </w:pPr>
            <w:r>
              <w:t xml:space="preserve">Arunachal Pradesh</w:t>
            </w:r>
          </w:p>
        </w:tc>
        <w:tc>
          <w:tcPr/>
          <w:p>
            <w:pPr>
              <w:pStyle w:val="Compact"/>
              <w:jc w:val="right"/>
            </w:pPr>
            <w:r>
              <w:t xml:space="preserve">316</w:t>
            </w:r>
          </w:p>
        </w:tc>
        <w:tc>
          <w:tcPr/>
          <w:p>
            <w:pPr>
              <w:pStyle w:val="Compact"/>
              <w:jc w:val="right"/>
            </w:pPr>
            <w:r>
              <w:t xml:space="preserve">19.2</w:t>
            </w:r>
          </w:p>
        </w:tc>
        <w:tc>
          <w:tcPr/>
          <w:p>
            <w:pPr>
              <w:pStyle w:val="Compact"/>
              <w:jc w:val="right"/>
            </w:pPr>
            <w:r>
              <w:t xml:space="preserve">25.9</w:t>
            </w:r>
          </w:p>
        </w:tc>
      </w:tr>
      <w:tr>
        <w:tc>
          <w:tcPr/>
          <w:p>
            <w:pPr>
              <w:pStyle w:val="Compact"/>
              <w:jc w:val="left"/>
            </w:pPr>
            <w:r>
              <w:t xml:space="preserve">Manipur</w:t>
            </w:r>
          </w:p>
        </w:tc>
        <w:tc>
          <w:tcPr/>
          <w:p>
            <w:pPr>
              <w:pStyle w:val="Compact"/>
              <w:jc w:val="right"/>
            </w:pPr>
            <w:r>
              <w:t xml:space="preserve">603</w:t>
            </w:r>
          </w:p>
        </w:tc>
        <w:tc>
          <w:tcPr/>
          <w:p>
            <w:pPr>
              <w:pStyle w:val="Compact"/>
              <w:jc w:val="right"/>
            </w:pPr>
            <w:r>
              <w:t xml:space="preserve">19.0</w:t>
            </w:r>
          </w:p>
        </w:tc>
        <w:tc>
          <w:tcPr/>
          <w:p>
            <w:pPr>
              <w:pStyle w:val="Compact"/>
              <w:jc w:val="right"/>
            </w:pPr>
            <w:r>
              <w:t xml:space="preserve">36.2</w:t>
            </w:r>
          </w:p>
        </w:tc>
      </w:tr>
      <w:tr>
        <w:tc>
          <w:tcPr/>
          <w:p>
            <w:pPr>
              <w:pStyle w:val="Compact"/>
              <w:jc w:val="left"/>
            </w:pPr>
            <w:r>
              <w:t xml:space="preserve">Assam</w:t>
            </w:r>
          </w:p>
        </w:tc>
        <w:tc>
          <w:tcPr/>
          <w:p>
            <w:pPr>
              <w:pStyle w:val="Compact"/>
              <w:jc w:val="right"/>
            </w:pPr>
            <w:r>
              <w:t xml:space="preserve">815</w:t>
            </w:r>
          </w:p>
        </w:tc>
        <w:tc>
          <w:tcPr/>
          <w:p>
            <w:pPr>
              <w:pStyle w:val="Compact"/>
              <w:jc w:val="right"/>
            </w:pPr>
            <w:r>
              <w:t xml:space="preserve">19.0</w:t>
            </w:r>
          </w:p>
        </w:tc>
        <w:tc>
          <w:tcPr/>
          <w:p>
            <w:pPr>
              <w:pStyle w:val="Compact"/>
              <w:jc w:val="right"/>
            </w:pPr>
            <w:r>
              <w:t xml:space="preserve">31.0</w:t>
            </w:r>
          </w:p>
        </w:tc>
      </w:tr>
      <w:tr>
        <w:tc>
          <w:tcPr/>
          <w:p>
            <w:pPr>
              <w:pStyle w:val="Compact"/>
              <w:jc w:val="left"/>
            </w:pPr>
            <w:r>
              <w:t xml:space="preserve">Madhya Pradesh</w:t>
            </w:r>
          </w:p>
        </w:tc>
        <w:tc>
          <w:tcPr/>
          <w:p>
            <w:pPr>
              <w:pStyle w:val="Compact"/>
              <w:jc w:val="right"/>
            </w:pPr>
            <w:r>
              <w:t xml:space="preserve">1300</w:t>
            </w:r>
          </w:p>
        </w:tc>
        <w:tc>
          <w:tcPr/>
          <w:p>
            <w:pPr>
              <w:pStyle w:val="Compact"/>
              <w:jc w:val="right"/>
            </w:pPr>
            <w:r>
              <w:t xml:space="preserve">18.7</w:t>
            </w:r>
          </w:p>
        </w:tc>
        <w:tc>
          <w:tcPr/>
          <w:p>
            <w:pPr>
              <w:pStyle w:val="Compact"/>
              <w:jc w:val="right"/>
            </w:pPr>
            <w:r>
              <w:t xml:space="preserve">31.3</w:t>
            </w:r>
          </w:p>
        </w:tc>
      </w:tr>
      <w:tr>
        <w:tc>
          <w:tcPr/>
          <w:p>
            <w:pPr>
              <w:pStyle w:val="Compact"/>
              <w:jc w:val="left"/>
            </w:pPr>
            <w:r>
              <w:t xml:space="preserve">Andhra Pradesh</w:t>
            </w:r>
          </w:p>
        </w:tc>
        <w:tc>
          <w:tcPr/>
          <w:p>
            <w:pPr>
              <w:pStyle w:val="Compact"/>
              <w:jc w:val="right"/>
            </w:pPr>
            <w:r>
              <w:t xml:space="preserve">1099</w:t>
            </w:r>
          </w:p>
        </w:tc>
        <w:tc>
          <w:tcPr/>
          <w:p>
            <w:pPr>
              <w:pStyle w:val="Compact"/>
              <w:jc w:val="right"/>
            </w:pPr>
            <w:r>
              <w:t xml:space="preserve">18.3</w:t>
            </w:r>
          </w:p>
        </w:tc>
        <w:tc>
          <w:tcPr/>
          <w:p>
            <w:pPr>
              <w:pStyle w:val="Compact"/>
              <w:jc w:val="right"/>
            </w:pPr>
            <w:r>
              <w:t xml:space="preserve">31.8</w:t>
            </w:r>
          </w:p>
        </w:tc>
      </w:tr>
      <w:tr>
        <w:tc>
          <w:tcPr/>
          <w:p>
            <w:pPr>
              <w:pStyle w:val="Compact"/>
              <w:jc w:val="left"/>
            </w:pPr>
            <w:r>
              <w:t xml:space="preserve">Jharkhand</w:t>
            </w:r>
          </w:p>
        </w:tc>
        <w:tc>
          <w:tcPr/>
          <w:p>
            <w:pPr>
              <w:pStyle w:val="Compact"/>
              <w:jc w:val="right"/>
            </w:pPr>
            <w:r>
              <w:t xml:space="preserve">1160</w:t>
            </w:r>
          </w:p>
        </w:tc>
        <w:tc>
          <w:tcPr/>
          <w:p>
            <w:pPr>
              <w:pStyle w:val="Compact"/>
              <w:jc w:val="right"/>
            </w:pPr>
            <w:r>
              <w:t xml:space="preserve">17.9</w:t>
            </w:r>
          </w:p>
        </w:tc>
        <w:tc>
          <w:tcPr/>
          <w:p>
            <w:pPr>
              <w:pStyle w:val="Compact"/>
              <w:jc w:val="right"/>
            </w:pPr>
            <w:r>
              <w:t xml:space="preserve">29.7</w:t>
            </w:r>
          </w:p>
        </w:tc>
      </w:tr>
      <w:tr>
        <w:tc>
          <w:tcPr/>
          <w:p>
            <w:pPr>
              <w:pStyle w:val="Compact"/>
              <w:jc w:val="left"/>
            </w:pPr>
            <w:r>
              <w:t xml:space="preserve">Haryana</w:t>
            </w:r>
          </w:p>
        </w:tc>
        <w:tc>
          <w:tcPr/>
          <w:p>
            <w:pPr>
              <w:pStyle w:val="Compact"/>
              <w:jc w:val="right"/>
            </w:pPr>
            <w:r>
              <w:t xml:space="preserve">842</w:t>
            </w:r>
          </w:p>
        </w:tc>
        <w:tc>
          <w:tcPr/>
          <w:p>
            <w:pPr>
              <w:pStyle w:val="Compact"/>
              <w:jc w:val="right"/>
            </w:pPr>
            <w:r>
              <w:t xml:space="preserve">17.5</w:t>
            </w:r>
          </w:p>
        </w:tc>
        <w:tc>
          <w:tcPr/>
          <w:p>
            <w:pPr>
              <w:pStyle w:val="Compact"/>
              <w:jc w:val="right"/>
            </w:pPr>
            <w:r>
              <w:t xml:space="preserve">33.2</w:t>
            </w:r>
          </w:p>
        </w:tc>
      </w:tr>
      <w:tr>
        <w:tc>
          <w:tcPr/>
          <w:p>
            <w:pPr>
              <w:pStyle w:val="Compact"/>
              <w:jc w:val="left"/>
            </w:pPr>
            <w:r>
              <w:t xml:space="preserve">Tripura</w:t>
            </w:r>
          </w:p>
        </w:tc>
        <w:tc>
          <w:tcPr/>
          <w:p>
            <w:pPr>
              <w:pStyle w:val="Compact"/>
              <w:jc w:val="right"/>
            </w:pPr>
            <w:r>
              <w:t xml:space="preserve">458</w:t>
            </w:r>
          </w:p>
        </w:tc>
        <w:tc>
          <w:tcPr/>
          <w:p>
            <w:pPr>
              <w:pStyle w:val="Compact"/>
              <w:jc w:val="right"/>
            </w:pPr>
            <w:r>
              <w:t xml:space="preserve">17.3</w:t>
            </w:r>
          </w:p>
        </w:tc>
        <w:tc>
          <w:tcPr/>
          <w:p>
            <w:pPr>
              <w:pStyle w:val="Compact"/>
              <w:jc w:val="right"/>
            </w:pPr>
            <w:r>
              <w:t xml:space="preserve">32.0</w:t>
            </w:r>
          </w:p>
        </w:tc>
      </w:tr>
      <w:tr>
        <w:tc>
          <w:tcPr/>
          <w:p>
            <w:pPr>
              <w:pStyle w:val="Compact"/>
              <w:jc w:val="left"/>
            </w:pPr>
            <w:r>
              <w:t xml:space="preserve">Himachal Pradesh</w:t>
            </w:r>
          </w:p>
        </w:tc>
        <w:tc>
          <w:tcPr/>
          <w:p>
            <w:pPr>
              <w:pStyle w:val="Compact"/>
              <w:jc w:val="right"/>
            </w:pPr>
            <w:r>
              <w:t xml:space="preserve">618</w:t>
            </w:r>
          </w:p>
        </w:tc>
        <w:tc>
          <w:tcPr/>
          <w:p>
            <w:pPr>
              <w:pStyle w:val="Compact"/>
              <w:jc w:val="right"/>
            </w:pPr>
            <w:r>
              <w:t xml:space="preserve">16.6</w:t>
            </w:r>
          </w:p>
        </w:tc>
        <w:tc>
          <w:tcPr/>
          <w:p>
            <w:pPr>
              <w:pStyle w:val="Compact"/>
              <w:jc w:val="right"/>
            </w:pPr>
            <w:r>
              <w:t xml:space="preserve">36.3</w:t>
            </w:r>
          </w:p>
        </w:tc>
      </w:tr>
      <w:tr>
        <w:tc>
          <w:tcPr/>
          <w:p>
            <w:pPr>
              <w:pStyle w:val="Compact"/>
              <w:jc w:val="left"/>
            </w:pPr>
            <w:r>
              <w:t xml:space="preserve">Rajasthan</w:t>
            </w:r>
          </w:p>
        </w:tc>
        <w:tc>
          <w:tcPr/>
          <w:p>
            <w:pPr>
              <w:pStyle w:val="Compact"/>
              <w:jc w:val="right"/>
            </w:pPr>
            <w:r>
              <w:t xml:space="preserve">1071</w:t>
            </w:r>
          </w:p>
        </w:tc>
        <w:tc>
          <w:tcPr/>
          <w:p>
            <w:pPr>
              <w:pStyle w:val="Compact"/>
              <w:jc w:val="right"/>
            </w:pPr>
            <w:r>
              <w:t xml:space="preserve">16.6</w:t>
            </w:r>
          </w:p>
        </w:tc>
        <w:tc>
          <w:tcPr/>
          <w:p>
            <w:pPr>
              <w:pStyle w:val="Compact"/>
              <w:jc w:val="right"/>
            </w:pPr>
            <w:r>
              <w:t xml:space="preserve">35.8</w:t>
            </w:r>
          </w:p>
        </w:tc>
      </w:tr>
      <w:tr>
        <w:tc>
          <w:tcPr/>
          <w:p>
            <w:pPr>
              <w:pStyle w:val="Compact"/>
              <w:jc w:val="left"/>
            </w:pPr>
            <w:r>
              <w:t xml:space="preserve">Meghalaya</w:t>
            </w:r>
          </w:p>
        </w:tc>
        <w:tc>
          <w:tcPr/>
          <w:p>
            <w:pPr>
              <w:pStyle w:val="Compact"/>
              <w:jc w:val="right"/>
            </w:pPr>
            <w:r>
              <w:t xml:space="preserve">409</w:t>
            </w:r>
          </w:p>
        </w:tc>
        <w:tc>
          <w:tcPr/>
          <w:p>
            <w:pPr>
              <w:pStyle w:val="Compact"/>
              <w:jc w:val="right"/>
            </w:pPr>
            <w:r>
              <w:t xml:space="preserve">16.1</w:t>
            </w:r>
          </w:p>
        </w:tc>
        <w:tc>
          <w:tcPr/>
          <w:p>
            <w:pPr>
              <w:pStyle w:val="Compact"/>
              <w:jc w:val="right"/>
            </w:pPr>
            <w:r>
              <w:t xml:space="preserve">22.5</w:t>
            </w:r>
          </w:p>
        </w:tc>
      </w:tr>
      <w:tr>
        <w:tc>
          <w:tcPr/>
          <w:p>
            <w:pPr>
              <w:pStyle w:val="Compact"/>
              <w:jc w:val="left"/>
            </w:pPr>
            <w:r>
              <w:t xml:space="preserve">Uttarakhand</w:t>
            </w:r>
          </w:p>
        </w:tc>
        <w:tc>
          <w:tcPr/>
          <w:p>
            <w:pPr>
              <w:pStyle w:val="Compact"/>
              <w:jc w:val="right"/>
            </w:pPr>
            <w:r>
              <w:t xml:space="preserve">638</w:t>
            </w:r>
          </w:p>
        </w:tc>
        <w:tc>
          <w:tcPr/>
          <w:p>
            <w:pPr>
              <w:pStyle w:val="Compact"/>
              <w:jc w:val="right"/>
            </w:pPr>
            <w:r>
              <w:t xml:space="preserve">14.7</w:t>
            </w:r>
          </w:p>
        </w:tc>
        <w:tc>
          <w:tcPr/>
          <w:p>
            <w:pPr>
              <w:pStyle w:val="Compact"/>
              <w:jc w:val="right"/>
            </w:pPr>
            <w:r>
              <w:t xml:space="preserve">27.9</w:t>
            </w:r>
          </w:p>
        </w:tc>
      </w:tr>
      <w:tr>
        <w:tc>
          <w:tcPr/>
          <w:p>
            <w:pPr>
              <w:pStyle w:val="Compact"/>
              <w:jc w:val="left"/>
            </w:pPr>
            <w:r>
              <w:t xml:space="preserve">Tamil Nadu</w:t>
            </w:r>
          </w:p>
        </w:tc>
        <w:tc>
          <w:tcPr/>
          <w:p>
            <w:pPr>
              <w:pStyle w:val="Compact"/>
              <w:jc w:val="right"/>
            </w:pPr>
            <w:r>
              <w:t xml:space="preserve">1523</w:t>
            </w:r>
          </w:p>
        </w:tc>
        <w:tc>
          <w:tcPr/>
          <w:p>
            <w:pPr>
              <w:pStyle w:val="Compact"/>
              <w:jc w:val="right"/>
            </w:pPr>
            <w:r>
              <w:t xml:space="preserve">12.9</w:t>
            </w:r>
          </w:p>
        </w:tc>
        <w:tc>
          <w:tcPr/>
          <w:p>
            <w:pPr>
              <w:pStyle w:val="Compact"/>
              <w:jc w:val="right"/>
            </w:pPr>
            <w:r>
              <w:t xml:space="preserve">22.7</w:t>
            </w:r>
          </w:p>
        </w:tc>
      </w:tr>
      <w:tr>
        <w:tc>
          <w:tcPr/>
          <w:p>
            <w:pPr>
              <w:pStyle w:val="Compact"/>
              <w:jc w:val="left"/>
            </w:pPr>
            <w:r>
              <w:t xml:space="preserve">Delhi</w:t>
            </w:r>
          </w:p>
        </w:tc>
        <w:tc>
          <w:tcPr/>
          <w:p>
            <w:pPr>
              <w:pStyle w:val="Compact"/>
              <w:jc w:val="right"/>
            </w:pPr>
            <w:r>
              <w:t xml:space="preserve">492</w:t>
            </w:r>
          </w:p>
        </w:tc>
        <w:tc>
          <w:tcPr/>
          <w:p>
            <w:pPr>
              <w:pStyle w:val="Compact"/>
              <w:jc w:val="right"/>
            </w:pPr>
            <w:r>
              <w:t xml:space="preserve">12.8</w:t>
            </w:r>
          </w:p>
        </w:tc>
        <w:tc>
          <w:tcPr/>
          <w:p>
            <w:pPr>
              <w:pStyle w:val="Compact"/>
              <w:jc w:val="right"/>
            </w:pPr>
            <w:r>
              <w:t xml:space="preserve">27.2</w:t>
            </w:r>
          </w:p>
        </w:tc>
      </w:tr>
      <w:tr>
        <w:tc>
          <w:tcPr/>
          <w:p>
            <w:pPr>
              <w:pStyle w:val="Compact"/>
              <w:jc w:val="left"/>
            </w:pPr>
            <w:r>
              <w:t xml:space="preserve">Chandigarh</w:t>
            </w:r>
          </w:p>
        </w:tc>
        <w:tc>
          <w:tcPr/>
          <w:p>
            <w:pPr>
              <w:pStyle w:val="Compact"/>
              <w:jc w:val="right"/>
            </w:pPr>
            <w:r>
              <w:t xml:space="preserve">394</w:t>
            </w:r>
          </w:p>
        </w:tc>
        <w:tc>
          <w:tcPr/>
          <w:p>
            <w:pPr>
              <w:pStyle w:val="Compact"/>
              <w:jc w:val="right"/>
            </w:pPr>
            <w:r>
              <w:t xml:space="preserve">12.4</w:t>
            </w:r>
          </w:p>
        </w:tc>
        <w:tc>
          <w:tcPr/>
          <w:p>
            <w:pPr>
              <w:pStyle w:val="Compact"/>
              <w:jc w:val="right"/>
            </w:pPr>
            <w:r>
              <w:t xml:space="preserve">33.3</w:t>
            </w:r>
          </w:p>
        </w:tc>
      </w:tr>
      <w:tr>
        <w:tc>
          <w:tcPr/>
          <w:p>
            <w:pPr>
              <w:pStyle w:val="Compact"/>
              <w:jc w:val="left"/>
            </w:pPr>
            <w:r>
              <w:t xml:space="preserve">Lakshadweep</w:t>
            </w:r>
          </w:p>
        </w:tc>
        <w:tc>
          <w:tcPr/>
          <w:p>
            <w:pPr>
              <w:pStyle w:val="Compact"/>
              <w:jc w:val="right"/>
            </w:pPr>
            <w:r>
              <w:t xml:space="preserve">500</w:t>
            </w:r>
          </w:p>
        </w:tc>
        <w:tc>
          <w:tcPr/>
          <w:p>
            <w:pPr>
              <w:pStyle w:val="Compact"/>
              <w:jc w:val="right"/>
            </w:pPr>
            <w:r>
              <w:t xml:space="preserve">11.5</w:t>
            </w:r>
          </w:p>
        </w:tc>
        <w:tc>
          <w:tcPr/>
          <w:p>
            <w:pPr>
              <w:pStyle w:val="Compact"/>
              <w:jc w:val="right"/>
            </w:pPr>
            <w:r>
              <w:t xml:space="preserve">17.6</w:t>
            </w:r>
          </w:p>
        </w:tc>
      </w:tr>
      <w:tr>
        <w:tc>
          <w:tcPr/>
          <w:p>
            <w:pPr>
              <w:pStyle w:val="Compact"/>
              <w:jc w:val="left"/>
            </w:pPr>
            <w:r>
              <w:t xml:space="preserve">Karnataka</w:t>
            </w:r>
          </w:p>
        </w:tc>
        <w:tc>
          <w:tcPr/>
          <w:p>
            <w:pPr>
              <w:pStyle w:val="Compact"/>
              <w:jc w:val="right"/>
            </w:pPr>
            <w:r>
              <w:t xml:space="preserve">1001</w:t>
            </w:r>
          </w:p>
        </w:tc>
        <w:tc>
          <w:tcPr/>
          <w:p>
            <w:pPr>
              <w:pStyle w:val="Compact"/>
              <w:jc w:val="right"/>
            </w:pPr>
            <w:r>
              <w:t xml:space="preserve">11.3</w:t>
            </w:r>
          </w:p>
        </w:tc>
        <w:tc>
          <w:tcPr/>
          <w:p>
            <w:pPr>
              <w:pStyle w:val="Compact"/>
              <w:jc w:val="right"/>
            </w:pPr>
            <w:r>
              <w:t xml:space="preserve">26.5</w:t>
            </w:r>
          </w:p>
        </w:tc>
      </w:tr>
      <w:tr>
        <w:tc>
          <w:tcPr/>
          <w:p>
            <w:pPr>
              <w:pStyle w:val="Compact"/>
              <w:jc w:val="left"/>
            </w:pPr>
            <w:r>
              <w:t xml:space="preserve">Sikkim</w:t>
            </w:r>
          </w:p>
        </w:tc>
        <w:tc>
          <w:tcPr/>
          <w:p>
            <w:pPr>
              <w:pStyle w:val="Compact"/>
              <w:jc w:val="right"/>
            </w:pPr>
            <w:r>
              <w:t xml:space="preserve">437</w:t>
            </w:r>
          </w:p>
        </w:tc>
        <w:tc>
          <w:tcPr/>
          <w:p>
            <w:pPr>
              <w:pStyle w:val="Compact"/>
              <w:jc w:val="right"/>
            </w:pPr>
            <w:r>
              <w:t xml:space="preserve">10.7</w:t>
            </w:r>
          </w:p>
        </w:tc>
        <w:tc>
          <w:tcPr/>
          <w:p>
            <w:pPr>
              <w:pStyle w:val="Compact"/>
              <w:jc w:val="right"/>
            </w:pPr>
            <w:r>
              <w:t xml:space="preserve">24.8</w:t>
            </w:r>
          </w:p>
        </w:tc>
      </w:tr>
      <w:tr>
        <w:tc>
          <w:tcPr/>
          <w:p>
            <w:pPr>
              <w:pStyle w:val="Compact"/>
              <w:jc w:val="left"/>
            </w:pPr>
            <w:r>
              <w:t xml:space="preserve">Puducherry</w:t>
            </w:r>
          </w:p>
        </w:tc>
        <w:tc>
          <w:tcPr/>
          <w:p>
            <w:pPr>
              <w:pStyle w:val="Compact"/>
              <w:jc w:val="right"/>
            </w:pPr>
            <w:r>
              <w:t xml:space="preserve">638</w:t>
            </w:r>
          </w:p>
        </w:tc>
        <w:tc>
          <w:tcPr/>
          <w:p>
            <w:pPr>
              <w:pStyle w:val="Compact"/>
              <w:jc w:val="right"/>
            </w:pPr>
            <w:r>
              <w:t xml:space="preserve">10.7</w:t>
            </w:r>
          </w:p>
        </w:tc>
        <w:tc>
          <w:tcPr/>
          <w:p>
            <w:pPr>
              <w:pStyle w:val="Compact"/>
              <w:jc w:val="right"/>
            </w:pPr>
            <w:r>
              <w:t xml:space="preserve">20.5</w:t>
            </w:r>
          </w:p>
        </w:tc>
      </w:tr>
      <w:tr>
        <w:tc>
          <w:tcPr/>
          <w:p>
            <w:pPr>
              <w:pStyle w:val="Compact"/>
              <w:jc w:val="left"/>
            </w:pPr>
            <w:r>
              <w:t xml:space="preserve">Mizoram</w:t>
            </w:r>
          </w:p>
        </w:tc>
        <w:tc>
          <w:tcPr/>
          <w:p>
            <w:pPr>
              <w:pStyle w:val="Compact"/>
              <w:jc w:val="right"/>
            </w:pPr>
            <w:r>
              <w:t xml:space="preserve">526</w:t>
            </w:r>
          </w:p>
        </w:tc>
        <w:tc>
          <w:tcPr/>
          <w:p>
            <w:pPr>
              <w:pStyle w:val="Compact"/>
              <w:jc w:val="right"/>
            </w:pPr>
            <w:r>
              <w:t xml:space="preserve">10.4</w:t>
            </w:r>
          </w:p>
        </w:tc>
        <w:tc>
          <w:tcPr/>
          <w:p>
            <w:pPr>
              <w:pStyle w:val="Compact"/>
              <w:jc w:val="right"/>
            </w:pPr>
            <w:r>
              <w:t xml:space="preserve">24.3</w:t>
            </w:r>
          </w:p>
        </w:tc>
      </w:tr>
      <w:tr>
        <w:tc>
          <w:tcPr/>
          <w:p>
            <w:pPr>
              <w:pStyle w:val="Compact"/>
              <w:jc w:val="left"/>
            </w:pPr>
            <w:r>
              <w:t xml:space="preserve">Goa</w:t>
            </w:r>
          </w:p>
        </w:tc>
        <w:tc>
          <w:tcPr/>
          <w:p>
            <w:pPr>
              <w:pStyle w:val="Compact"/>
              <w:jc w:val="right"/>
            </w:pPr>
            <w:r>
              <w:t xml:space="preserve">637</w:t>
            </w:r>
          </w:p>
        </w:tc>
        <w:tc>
          <w:tcPr/>
          <w:p>
            <w:pPr>
              <w:pStyle w:val="Compact"/>
              <w:jc w:val="right"/>
            </w:pPr>
            <w:r>
              <w:t xml:space="preserve">10.2</w:t>
            </w:r>
          </w:p>
        </w:tc>
        <w:tc>
          <w:tcPr/>
          <w:p>
            <w:pPr>
              <w:pStyle w:val="Compact"/>
              <w:jc w:val="right"/>
            </w:pPr>
            <w:r>
              <w:t xml:space="preserve">32.0</w:t>
            </w:r>
          </w:p>
        </w:tc>
      </w:tr>
      <w:tr>
        <w:tc>
          <w:tcPr/>
          <w:p>
            <w:pPr>
              <w:pStyle w:val="Compact"/>
              <w:jc w:val="left"/>
            </w:pPr>
            <w:r>
              <w:t xml:space="preserve">Gujarat</w:t>
            </w:r>
          </w:p>
        </w:tc>
        <w:tc>
          <w:tcPr/>
          <w:p>
            <w:pPr>
              <w:pStyle w:val="Compact"/>
              <w:jc w:val="right"/>
            </w:pPr>
            <w:r>
              <w:t xml:space="preserve">989</w:t>
            </w:r>
          </w:p>
        </w:tc>
        <w:tc>
          <w:tcPr/>
          <w:p>
            <w:pPr>
              <w:pStyle w:val="Compact"/>
              <w:jc w:val="right"/>
            </w:pPr>
            <w:r>
              <w:t xml:space="preserve">9.8</w:t>
            </w:r>
          </w:p>
        </w:tc>
        <w:tc>
          <w:tcPr/>
          <w:p>
            <w:pPr>
              <w:pStyle w:val="Compact"/>
              <w:jc w:val="right"/>
            </w:pPr>
            <w:r>
              <w:t xml:space="preserve">21.7</w:t>
            </w:r>
          </w:p>
        </w:tc>
      </w:tr>
      <w:tr>
        <w:tc>
          <w:tcPr/>
          <w:p>
            <w:pPr>
              <w:pStyle w:val="Compact"/>
              <w:jc w:val="left"/>
            </w:pPr>
            <w:r>
              <w:t xml:space="preserve">Chhattisgarh</w:t>
            </w:r>
          </w:p>
        </w:tc>
        <w:tc>
          <w:tcPr/>
          <w:p>
            <w:pPr>
              <w:pStyle w:val="Compact"/>
              <w:jc w:val="right"/>
            </w:pPr>
            <w:r>
              <w:t xml:space="preserve">778</w:t>
            </w:r>
          </w:p>
        </w:tc>
        <w:tc>
          <w:tcPr/>
          <w:p>
            <w:pPr>
              <w:pStyle w:val="Compact"/>
              <w:jc w:val="right"/>
            </w:pPr>
            <w:r>
              <w:t xml:space="preserve">9.3</w:t>
            </w:r>
          </w:p>
        </w:tc>
        <w:tc>
          <w:tcPr/>
          <w:p>
            <w:pPr>
              <w:pStyle w:val="Compact"/>
              <w:jc w:val="right"/>
            </w:pPr>
            <w:r>
              <w:t xml:space="preserve">19.0</w:t>
            </w:r>
          </w:p>
        </w:tc>
      </w:tr>
      <w:tr>
        <w:tc>
          <w:tcPr/>
          <w:p>
            <w:pPr>
              <w:pStyle w:val="Compact"/>
              <w:jc w:val="left"/>
            </w:pPr>
            <w:r>
              <w:t xml:space="preserve">Nagaland</w:t>
            </w:r>
          </w:p>
        </w:tc>
        <w:tc>
          <w:tcPr/>
          <w:p>
            <w:pPr>
              <w:pStyle w:val="Compact"/>
              <w:jc w:val="right"/>
            </w:pPr>
            <w:r>
              <w:t xml:space="preserve">599</w:t>
            </w:r>
          </w:p>
        </w:tc>
        <w:tc>
          <w:tcPr/>
          <w:p>
            <w:pPr>
              <w:pStyle w:val="Compact"/>
              <w:jc w:val="right"/>
            </w:pPr>
            <w:r>
              <w:t xml:space="preserve">9.0</w:t>
            </w:r>
          </w:p>
        </w:tc>
        <w:tc>
          <w:tcPr/>
          <w:p>
            <w:pPr>
              <w:pStyle w:val="Compact"/>
              <w:jc w:val="right"/>
            </w:pPr>
            <w:r>
              <w:t xml:space="preserve">12.2</w:t>
            </w:r>
          </w:p>
        </w:tc>
      </w:tr>
      <w:tr>
        <w:tc>
          <w:tcPr/>
          <w:p>
            <w:pPr>
              <w:pStyle w:val="Compact"/>
              <w:jc w:val="left"/>
            </w:pPr>
            <w:r>
              <w:t xml:space="preserve">Dadra &amp; Nagar Haveli</w:t>
            </w:r>
          </w:p>
        </w:tc>
        <w:tc>
          <w:tcPr/>
          <w:p>
            <w:pPr>
              <w:pStyle w:val="Compact"/>
              <w:jc w:val="right"/>
            </w:pPr>
            <w:r>
              <w:t xml:space="preserve">450</w:t>
            </w:r>
          </w:p>
        </w:tc>
        <w:tc>
          <w:tcPr/>
          <w:p>
            <w:pPr>
              <w:pStyle w:val="Compact"/>
              <w:jc w:val="right"/>
            </w:pPr>
            <w:r>
              <w:t xml:space="preserve">7.6</w:t>
            </w:r>
          </w:p>
        </w:tc>
        <w:tc>
          <w:tcPr/>
          <w:p>
            <w:pPr>
              <w:pStyle w:val="Compact"/>
              <w:jc w:val="right"/>
            </w:pPr>
            <w:r>
              <w:t xml:space="preserve">15.4</w:t>
            </w:r>
          </w:p>
        </w:tc>
      </w:tr>
      <w:tr>
        <w:tc>
          <w:tcPr/>
          <w:p>
            <w:pPr>
              <w:pStyle w:val="Compact"/>
              <w:jc w:val="left"/>
            </w:pPr>
            <w:r>
              <w:t xml:space="preserve">Daman &amp; Diu</w:t>
            </w:r>
          </w:p>
        </w:tc>
        <w:tc>
          <w:tcPr/>
          <w:p>
            <w:pPr>
              <w:pStyle w:val="Compact"/>
              <w:jc w:val="right"/>
            </w:pPr>
            <w:r>
              <w:t xml:space="preserve">431</w:t>
            </w:r>
          </w:p>
        </w:tc>
        <w:tc>
          <w:tcPr/>
          <w:p>
            <w:pPr>
              <w:pStyle w:val="Compact"/>
              <w:jc w:val="right"/>
            </w:pPr>
            <w:r>
              <w:t xml:space="preserve">7.0</w:t>
            </w:r>
          </w:p>
        </w:tc>
        <w:tc>
          <w:tcPr/>
          <w:p>
            <w:pPr>
              <w:pStyle w:val="Compact"/>
              <w:jc w:val="right"/>
            </w:pPr>
            <w:r>
              <w:t xml:space="preserve">15.2</w:t>
            </w:r>
          </w:p>
        </w:tc>
      </w:tr>
      <w:tr>
        <w:tc>
          <w:tcPr/>
          <w:p>
            <w:pPr>
              <w:pStyle w:val="Compact"/>
              <w:jc w:val="left"/>
            </w:pPr>
            <w:r>
              <w:t xml:space="preserve">Andaman &amp; Nicobar</w:t>
            </w:r>
          </w:p>
        </w:tc>
        <w:tc>
          <w:tcPr/>
          <w:p>
            <w:pPr>
              <w:pStyle w:val="Compact"/>
              <w:jc w:val="right"/>
            </w:pPr>
            <w:r>
              <w:t xml:space="preserve">519</w:t>
            </w:r>
          </w:p>
        </w:tc>
        <w:tc>
          <w:tcPr/>
          <w:p>
            <w:pPr>
              <w:pStyle w:val="Compact"/>
              <w:jc w:val="right"/>
            </w:pPr>
            <w:r>
              <w:t xml:space="preserve">4.1</w:t>
            </w:r>
          </w:p>
        </w:tc>
        <w:tc>
          <w:tcPr/>
          <w:p>
            <w:pPr>
              <w:pStyle w:val="Compact"/>
              <w:jc w:val="right"/>
            </w:pPr>
            <w:r>
              <w:t xml:space="preserve">7.0</w:t>
            </w:r>
          </w:p>
        </w:tc>
      </w:tr>
    </w:tbl>
    <w:bookmarkEnd w:id="11"/>
    <w:bookmarkStart w:id="12" w:name="X3cb0c3e5d9f3db5cf80ccafb8fe9e207bc8b1d4"/>
    <w:p>
      <w:pPr>
        <w:pStyle w:val="Heading2"/>
      </w:pPr>
      <w:r>
        <w:t xml:space="preserve">S4. Catastrophic spending by per-capita-consumption quintile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Consumption quintile</w:t>
            </w:r>
          </w:p>
        </w:tc>
        <w:tc>
          <w:tcPr/>
          <w:p>
            <w:pPr>
              <w:pStyle w:val="Compact"/>
              <w:jc w:val="right"/>
            </w:pPr>
            <w:r>
              <w:t xml:space="preserve">n</w:t>
            </w:r>
          </w:p>
        </w:tc>
        <w:tc>
          <w:tcPr/>
          <w:p>
            <w:pPr>
              <w:pStyle w:val="Compact"/>
              <w:jc w:val="right"/>
            </w:pPr>
            <w:r>
              <w:t xml:space="preserve">CHE &gt;40% capacity, %</w:t>
            </w:r>
          </w:p>
        </w:tc>
        <w:tc>
          <w:tcPr/>
          <w:p>
            <w:pPr>
              <w:pStyle w:val="Compact"/>
              <w:jc w:val="right"/>
            </w:pPr>
            <w:r>
              <w:t xml:space="preserve">CHE &gt;10% consumption, %</w:t>
            </w:r>
          </w:p>
        </w:tc>
      </w:tr>
      <w:tr>
        <w:tc>
          <w:tcPr/>
          <w:p>
            <w:pPr>
              <w:pStyle w:val="Compact"/>
              <w:jc w:val="left"/>
            </w:pPr>
            <w:r>
              <w:t xml:space="preserve">1 (poorest)</w:t>
            </w:r>
          </w:p>
        </w:tc>
        <w:tc>
          <w:tcPr/>
          <w:p>
            <w:pPr>
              <w:pStyle w:val="Compact"/>
              <w:jc w:val="right"/>
            </w:pPr>
            <w:r>
              <w:t xml:space="preserve">5761</w:t>
            </w:r>
          </w:p>
        </w:tc>
        <w:tc>
          <w:tcPr/>
          <w:p>
            <w:pPr>
              <w:pStyle w:val="Compact"/>
              <w:jc w:val="right"/>
            </w:pPr>
            <w:r>
              <w:t xml:space="preserve">17.0</w:t>
            </w:r>
          </w:p>
        </w:tc>
        <w:tc>
          <w:tcPr/>
          <w:p>
            <w:pPr>
              <w:pStyle w:val="Compact"/>
              <w:jc w:val="right"/>
            </w:pPr>
            <w:r>
              <w:t xml:space="preserve">24.6</w:t>
            </w:r>
          </w:p>
        </w:tc>
      </w:tr>
      <w:tr>
        <w:tc>
          <w:tcPr/>
          <w:p>
            <w:pPr>
              <w:pStyle w:val="Compact"/>
              <w:jc w:val="left"/>
            </w:pPr>
            <w:r>
              <w:t xml:space="preserve">2</w:t>
            </w:r>
          </w:p>
        </w:tc>
        <w:tc>
          <w:tcPr/>
          <w:p>
            <w:pPr>
              <w:pStyle w:val="Compact"/>
              <w:jc w:val="right"/>
            </w:pPr>
            <w:r>
              <w:t xml:space="preserve">5839</w:t>
            </w:r>
          </w:p>
        </w:tc>
        <w:tc>
          <w:tcPr/>
          <w:p>
            <w:pPr>
              <w:pStyle w:val="Compact"/>
              <w:jc w:val="right"/>
            </w:pPr>
            <w:r>
              <w:t xml:space="preserve">18.2</w:t>
            </w:r>
          </w:p>
        </w:tc>
        <w:tc>
          <w:tcPr/>
          <w:p>
            <w:pPr>
              <w:pStyle w:val="Compact"/>
              <w:jc w:val="right"/>
            </w:pPr>
            <w:r>
              <w:t xml:space="preserve">32.2</w:t>
            </w:r>
          </w:p>
        </w:tc>
      </w:tr>
      <w:tr>
        <w:tc>
          <w:tcPr/>
          <w:p>
            <w:pPr>
              <w:pStyle w:val="Compact"/>
              <w:jc w:val="left"/>
            </w:pPr>
            <w:r>
              <w:t xml:space="preserve">3</w:t>
            </w:r>
          </w:p>
        </w:tc>
        <w:tc>
          <w:tcPr/>
          <w:p>
            <w:pPr>
              <w:pStyle w:val="Compact"/>
              <w:jc w:val="right"/>
            </w:pPr>
            <w:r>
              <w:t xml:space="preserve">6339</w:t>
            </w:r>
          </w:p>
        </w:tc>
        <w:tc>
          <w:tcPr/>
          <w:p>
            <w:pPr>
              <w:pStyle w:val="Compact"/>
              <w:jc w:val="right"/>
            </w:pPr>
            <w:r>
              <w:t xml:space="preserve">20.8</w:t>
            </w:r>
          </w:p>
        </w:tc>
        <w:tc>
          <w:tcPr/>
          <w:p>
            <w:pPr>
              <w:pStyle w:val="Compact"/>
              <w:jc w:val="right"/>
            </w:pPr>
            <w:r>
              <w:t xml:space="preserve">36.7</w:t>
            </w:r>
          </w:p>
        </w:tc>
      </w:tr>
      <w:tr>
        <w:tc>
          <w:tcPr/>
          <w:p>
            <w:pPr>
              <w:pStyle w:val="Compact"/>
              <w:jc w:val="left"/>
            </w:pPr>
            <w:r>
              <w:t xml:space="preserve">4</w:t>
            </w:r>
          </w:p>
        </w:tc>
        <w:tc>
          <w:tcPr/>
          <w:p>
            <w:pPr>
              <w:pStyle w:val="Compact"/>
              <w:jc w:val="right"/>
            </w:pPr>
            <w:r>
              <w:t xml:space="preserve">6619</w:t>
            </w:r>
          </w:p>
        </w:tc>
        <w:tc>
          <w:tcPr/>
          <w:p>
            <w:pPr>
              <w:pStyle w:val="Compact"/>
              <w:jc w:val="right"/>
            </w:pPr>
            <w:r>
              <w:t xml:space="preserve">21.6</w:t>
            </w:r>
          </w:p>
        </w:tc>
        <w:tc>
          <w:tcPr/>
          <w:p>
            <w:pPr>
              <w:pStyle w:val="Compact"/>
              <w:jc w:val="right"/>
            </w:pPr>
            <w:r>
              <w:t xml:space="preserve">39.8</w:t>
            </w:r>
          </w:p>
        </w:tc>
      </w:tr>
      <w:tr>
        <w:tc>
          <w:tcPr/>
          <w:p>
            <w:pPr>
              <w:pStyle w:val="Compact"/>
              <w:jc w:val="left"/>
            </w:pPr>
            <w:r>
              <w:t xml:space="preserve">5 (richest)</w:t>
            </w:r>
          </w:p>
        </w:tc>
        <w:tc>
          <w:tcPr/>
          <w:p>
            <w:pPr>
              <w:pStyle w:val="Compact"/>
              <w:jc w:val="right"/>
            </w:pPr>
            <w:r>
              <w:t xml:space="preserve">7206</w:t>
            </w:r>
          </w:p>
        </w:tc>
        <w:tc>
          <w:tcPr/>
          <w:p>
            <w:pPr>
              <w:pStyle w:val="Compact"/>
              <w:jc w:val="right"/>
            </w:pPr>
            <w:r>
              <w:t xml:space="preserve">26.1</w:t>
            </w:r>
          </w:p>
        </w:tc>
        <w:tc>
          <w:tcPr/>
          <w:p>
            <w:pPr>
              <w:pStyle w:val="Compact"/>
              <w:jc w:val="right"/>
            </w:pPr>
            <w:r>
              <w:t xml:space="preserve">45.2</w:t>
            </w:r>
          </w:p>
        </w:tc>
      </w:tr>
    </w:tbl>
    <w:p>
      <w:pPr>
        <w:pStyle w:val="BodyText"/>
      </w:pPr>
      <w:r>
        <w:rPr>
          <w:i/>
          <w:iCs/>
        </w:rPr>
        <w:t xml:space="preserve">On the relative capacity-to-pay measure, catastrophic spending rises with consumption because wealthier households spend more on private care. This is the opposite of the impoverishment result, where absolute poverty is concentrated among poorer and rural households.</w:t>
      </w:r>
    </w:p>
    <w:bookmarkEnd w:id="12"/>
    <w:bookmarkStart w:id="13" w:name="X28f22080e6d270cf27ed0195988f2fa433c947d"/>
    <w:p>
      <w:pPr>
        <w:pStyle w:val="Heading2"/>
      </w:pPr>
      <w:r>
        <w:t xml:space="preserve">S5. Sensitivity of the unpaid-care valuation to the assumed wage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right"/>
            </w:pPr>
            <w:r>
              <w:t xml:space="preserve">Care-worker wage, Rs/h</w:t>
            </w:r>
          </w:p>
        </w:tc>
        <w:tc>
          <w:tcPr/>
          <w:p>
            <w:pPr>
              <w:pStyle w:val="Compact"/>
              <w:jc w:val="right"/>
            </w:pPr>
            <w:r>
              <w:t xml:space="preserve">Value per recipient, Rs/yr</w:t>
            </w:r>
          </w:p>
        </w:tc>
        <w:tc>
          <w:tcPr/>
          <w:p>
            <w:pPr>
              <w:pStyle w:val="Compact"/>
              <w:jc w:val="right"/>
            </w:pPr>
            <w:r>
              <w:t xml:space="preserve">National annual value, Rs crore</w:t>
            </w:r>
          </w:p>
        </w:tc>
      </w:tr>
      <w:tr>
        <w:tc>
          <w:tcPr/>
          <w:p>
            <w:pPr>
              <w:pStyle w:val="Compact"/>
              <w:jc w:val="right"/>
            </w:pPr>
            <w:r>
              <w:t xml:space="preserve">50</w:t>
            </w:r>
          </w:p>
        </w:tc>
        <w:tc>
          <w:tcPr/>
          <w:p>
            <w:pPr>
              <w:pStyle w:val="Compact"/>
              <w:jc w:val="right"/>
            </w:pPr>
            <w:r>
              <w:t xml:space="preserve">36,261</w:t>
            </w:r>
          </w:p>
        </w:tc>
        <w:tc>
          <w:tcPr/>
          <w:p>
            <w:pPr>
              <w:pStyle w:val="Compact"/>
              <w:jc w:val="right"/>
            </w:pPr>
            <w:r>
              <w:t xml:space="preserve">65,948</w:t>
            </w:r>
          </w:p>
        </w:tc>
      </w:tr>
      <w:tr>
        <w:tc>
          <w:tcPr/>
          <w:p>
            <w:pPr>
              <w:pStyle w:val="Compact"/>
              <w:jc w:val="right"/>
            </w:pPr>
            <w:r>
              <w:t xml:space="preserve">75</w:t>
            </w:r>
          </w:p>
        </w:tc>
        <w:tc>
          <w:tcPr/>
          <w:p>
            <w:pPr>
              <w:pStyle w:val="Compact"/>
              <w:jc w:val="right"/>
            </w:pPr>
            <w:r>
              <w:t xml:space="preserve">54,392</w:t>
            </w:r>
          </w:p>
        </w:tc>
        <w:tc>
          <w:tcPr/>
          <w:p>
            <w:pPr>
              <w:pStyle w:val="Compact"/>
              <w:jc w:val="right"/>
            </w:pPr>
            <w:r>
              <w:t xml:space="preserve">98,923</w:t>
            </w:r>
          </w:p>
        </w:tc>
      </w:tr>
      <w:tr>
        <w:tc>
          <w:tcPr/>
          <w:p>
            <w:pPr>
              <w:pStyle w:val="Compact"/>
              <w:jc w:val="right"/>
            </w:pPr>
            <w:r>
              <w:t xml:space="preserve">97.9 (base case)</w:t>
            </w:r>
          </w:p>
        </w:tc>
        <w:tc>
          <w:tcPr/>
          <w:p>
            <w:pPr>
              <w:pStyle w:val="Compact"/>
              <w:jc w:val="right"/>
            </w:pPr>
            <w:r>
              <w:t xml:space="preserve">71,000</w:t>
            </w:r>
          </w:p>
        </w:tc>
        <w:tc>
          <w:tcPr/>
          <w:p>
            <w:pPr>
              <w:pStyle w:val="Compact"/>
              <w:jc w:val="right"/>
            </w:pPr>
            <w:r>
              <w:t xml:space="preserve">129,127</w:t>
            </w:r>
          </w:p>
        </w:tc>
      </w:tr>
      <w:tr>
        <w:tc>
          <w:tcPr/>
          <w:p>
            <w:pPr>
              <w:pStyle w:val="Compact"/>
              <w:jc w:val="right"/>
            </w:pPr>
            <w:r>
              <w:t xml:space="preserve">150</w:t>
            </w:r>
          </w:p>
        </w:tc>
        <w:tc>
          <w:tcPr/>
          <w:p>
            <w:pPr>
              <w:pStyle w:val="Compact"/>
              <w:jc w:val="right"/>
            </w:pPr>
            <w:r>
              <w:t xml:space="preserve">108,784</w:t>
            </w:r>
          </w:p>
        </w:tc>
        <w:tc>
          <w:tcPr/>
          <w:p>
            <w:pPr>
              <w:pStyle w:val="Compact"/>
              <w:jc w:val="right"/>
            </w:pPr>
            <w:r>
              <w:t xml:space="preserve">197,845</w:t>
            </w:r>
          </w:p>
        </w:tc>
      </w:tr>
      <w:tr>
        <w:tc>
          <w:tcPr/>
          <w:p>
            <w:pPr>
              <w:pStyle w:val="Compact"/>
              <w:jc w:val="right"/>
            </w:pPr>
            <w:r>
              <w:t xml:space="preserve">200</w:t>
            </w:r>
          </w:p>
        </w:tc>
        <w:tc>
          <w:tcPr/>
          <w:p>
            <w:pPr>
              <w:pStyle w:val="Compact"/>
              <w:jc w:val="right"/>
            </w:pPr>
            <w:r>
              <w:t xml:space="preserve">145,046</w:t>
            </w:r>
          </w:p>
        </w:tc>
        <w:tc>
          <w:tcPr/>
          <w:p>
            <w:pPr>
              <w:pStyle w:val="Compact"/>
              <w:jc w:val="right"/>
            </w:pPr>
            <w:r>
              <w:t xml:space="preserve">263,794</w:t>
            </w:r>
          </w:p>
        </w:tc>
      </w:tr>
    </w:tbl>
    <w:bookmarkEnd w:id="13"/>
    <w:bookmarkStart w:id="14" w:name="X563921ddef93760784060535ff6ee6117093e59"/>
    <w:p>
      <w:pPr>
        <w:pStyle w:val="Heading2"/>
      </w:pPr>
      <w:r>
        <w:t xml:space="preserve">S6. Full decomposition of the CHE40 concentration index (+0.090)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Correlate</w:t>
            </w:r>
          </w:p>
        </w:tc>
        <w:tc>
          <w:tcPr/>
          <w:p>
            <w:pPr>
              <w:pStyle w:val="Compact"/>
              <w:jc w:val="right"/>
            </w:pPr>
            <w:r>
              <w:t xml:space="preserve">Elasticity</w:t>
            </w:r>
          </w:p>
        </w:tc>
        <w:tc>
          <w:tcPr/>
          <w:p>
            <w:pPr>
              <w:pStyle w:val="Compact"/>
              <w:jc w:val="right"/>
            </w:pPr>
            <w:r>
              <w:t xml:space="preserve">Concentration index of correlate</w:t>
            </w:r>
          </w:p>
        </w:tc>
        <w:tc>
          <w:tcPr/>
          <w:p>
            <w:pPr>
              <w:pStyle w:val="Compact"/>
              <w:jc w:val="right"/>
            </w:pPr>
            <w:r>
              <w:t xml:space="preserve">Contribution to overall index</w:t>
            </w:r>
          </w:p>
        </w:tc>
        <w:tc>
          <w:tcPr/>
          <w:p>
            <w:pPr>
              <w:pStyle w:val="Compact"/>
              <w:jc w:val="right"/>
            </w:pPr>
            <w:r>
              <w:t xml:space="preserve">% of overall index</w:t>
            </w:r>
          </w:p>
        </w:tc>
      </w:tr>
      <w:tr>
        <w:tc>
          <w:tcPr/>
          <w:p>
            <w:pPr>
              <w:pStyle w:val="Compact"/>
              <w:jc w:val="left"/>
            </w:pPr>
            <w:r>
              <w:t xml:space="preserve">Multimorbidity (2+)</w:t>
            </w:r>
          </w:p>
        </w:tc>
        <w:tc>
          <w:tcPr/>
          <w:p>
            <w:pPr>
              <w:pStyle w:val="Compact"/>
              <w:jc w:val="right"/>
            </w:pPr>
            <w:r>
              <w:t xml:space="preserve">0.097</w:t>
            </w:r>
          </w:p>
        </w:tc>
        <w:tc>
          <w:tcPr/>
          <w:p>
            <w:pPr>
              <w:pStyle w:val="Compact"/>
              <w:jc w:val="right"/>
            </w:pPr>
            <w:r>
              <w:t xml:space="preserve">+0.187</w:t>
            </w:r>
          </w:p>
        </w:tc>
        <w:tc>
          <w:tcPr/>
          <w:p>
            <w:pPr>
              <w:pStyle w:val="Compact"/>
              <w:jc w:val="right"/>
            </w:pPr>
            <w:r>
              <w:t xml:space="preserve">+0.0181</w:t>
            </w:r>
          </w:p>
        </w:tc>
        <w:tc>
          <w:tcPr/>
          <w:p>
            <w:pPr>
              <w:pStyle w:val="Compact"/>
              <w:jc w:val="right"/>
            </w:pPr>
            <w:r>
              <w:t xml:space="preserve">+20.1</w:t>
            </w:r>
          </w:p>
        </w:tc>
      </w:tr>
      <w:tr>
        <w:tc>
          <w:tcPr/>
          <w:p>
            <w:pPr>
              <w:pStyle w:val="Compact"/>
              <w:jc w:val="left"/>
            </w:pPr>
            <w:r>
              <w:t xml:space="preserve">Female sex</w:t>
            </w:r>
          </w:p>
        </w:tc>
        <w:tc>
          <w:tcPr/>
          <w:p>
            <w:pPr>
              <w:pStyle w:val="Compact"/>
              <w:jc w:val="right"/>
            </w:pPr>
            <w:r>
              <w:t xml:space="preserve">-0.041</w:t>
            </w:r>
          </w:p>
        </w:tc>
        <w:tc>
          <w:tcPr/>
          <w:p>
            <w:pPr>
              <w:pStyle w:val="Compact"/>
              <w:jc w:val="right"/>
            </w:pPr>
            <w:r>
              <w:t xml:space="preserve">-0.011</w:t>
            </w:r>
          </w:p>
        </w:tc>
        <w:tc>
          <w:tcPr/>
          <w:p>
            <w:pPr>
              <w:pStyle w:val="Compact"/>
              <w:jc w:val="right"/>
            </w:pPr>
            <w:r>
              <w:t xml:space="preserve">+0.0004</w:t>
            </w:r>
          </w:p>
        </w:tc>
        <w:tc>
          <w:tcPr/>
          <w:p>
            <w:pPr>
              <w:pStyle w:val="Compact"/>
              <w:jc w:val="right"/>
            </w:pPr>
            <w:r>
              <w:t xml:space="preserve">+0.5</w:t>
            </w:r>
          </w:p>
        </w:tc>
      </w:tr>
      <w:tr>
        <w:tc>
          <w:tcPr/>
          <w:p>
            <w:pPr>
              <w:pStyle w:val="Compact"/>
              <w:jc w:val="left"/>
            </w:pPr>
            <w:r>
              <w:t xml:space="preserve">Age (per year)</w:t>
            </w:r>
          </w:p>
        </w:tc>
        <w:tc>
          <w:tcPr/>
          <w:p>
            <w:pPr>
              <w:pStyle w:val="Compact"/>
              <w:jc w:val="right"/>
            </w:pPr>
            <w:r>
              <w:t xml:space="preserve">0.056</w:t>
            </w:r>
          </w:p>
        </w:tc>
        <w:tc>
          <w:tcPr/>
          <w:p>
            <w:pPr>
              <w:pStyle w:val="Compact"/>
              <w:jc w:val="right"/>
            </w:pPr>
            <w:r>
              <w:t xml:space="preserve">-0.0004</w:t>
            </w:r>
          </w:p>
        </w:tc>
        <w:tc>
          <w:tcPr/>
          <w:p>
            <w:pPr>
              <w:pStyle w:val="Compact"/>
              <w:jc w:val="right"/>
            </w:pPr>
            <w:r>
              <w:t xml:space="preserve">-0.00002</w:t>
            </w:r>
          </w:p>
        </w:tc>
        <w:tc>
          <w:tcPr/>
          <w:p>
            <w:pPr>
              <w:pStyle w:val="Compact"/>
              <w:jc w:val="right"/>
            </w:pPr>
            <w:r>
              <w:t xml:space="preserve">-0.03</w:t>
            </w:r>
          </w:p>
        </w:tc>
      </w:tr>
      <w:tr>
        <w:tc>
          <w:tcPr/>
          <w:p>
            <w:pPr>
              <w:pStyle w:val="Compact"/>
              <w:jc w:val="left"/>
            </w:pPr>
            <w:r>
              <w:t xml:space="preserve">Any pension</w:t>
            </w:r>
          </w:p>
        </w:tc>
        <w:tc>
          <w:tcPr/>
          <w:p>
            <w:pPr>
              <w:pStyle w:val="Compact"/>
              <w:jc w:val="right"/>
            </w:pPr>
            <w:r>
              <w:t xml:space="preserve">-0.004</w:t>
            </w:r>
          </w:p>
        </w:tc>
        <w:tc>
          <w:tcPr/>
          <w:p>
            <w:pPr>
              <w:pStyle w:val="Compact"/>
              <w:jc w:val="right"/>
            </w:pPr>
            <w:r>
              <w:t xml:space="preserve">+0.291</w:t>
            </w:r>
          </w:p>
        </w:tc>
        <w:tc>
          <w:tcPr/>
          <w:p>
            <w:pPr>
              <w:pStyle w:val="Compact"/>
              <w:jc w:val="right"/>
            </w:pPr>
            <w:r>
              <w:t xml:space="preserve">-0.0010</w:t>
            </w:r>
          </w:p>
        </w:tc>
        <w:tc>
          <w:tcPr/>
          <w:p>
            <w:pPr>
              <w:pStyle w:val="Compact"/>
              <w:jc w:val="right"/>
            </w:pPr>
            <w:r>
              <w:t xml:space="preserve">-1.1</w:t>
            </w:r>
          </w:p>
        </w:tc>
      </w:tr>
      <w:tr>
        <w:tc>
          <w:tcPr/>
          <w:p>
            <w:pPr>
              <w:pStyle w:val="Compact"/>
              <w:jc w:val="left"/>
            </w:pPr>
            <w:r>
              <w:t xml:space="preserve">Functional limitation</w:t>
            </w:r>
          </w:p>
        </w:tc>
        <w:tc>
          <w:tcPr/>
          <w:p>
            <w:pPr>
              <w:pStyle w:val="Compact"/>
              <w:jc w:val="right"/>
            </w:pPr>
            <w:r>
              <w:t xml:space="preserve">0.186</w:t>
            </w:r>
          </w:p>
        </w:tc>
        <w:tc>
          <w:tcPr/>
          <w:p>
            <w:pPr>
              <w:pStyle w:val="Compact"/>
              <w:jc w:val="right"/>
            </w:pPr>
            <w:r>
              <w:t xml:space="preserve">-0.014</w:t>
            </w:r>
          </w:p>
        </w:tc>
        <w:tc>
          <w:tcPr/>
          <w:p>
            <w:pPr>
              <w:pStyle w:val="Compact"/>
              <w:jc w:val="right"/>
            </w:pPr>
            <w:r>
              <w:t xml:space="preserve">-0.0025</w:t>
            </w:r>
          </w:p>
        </w:tc>
        <w:tc>
          <w:tcPr/>
          <w:p>
            <w:pPr>
              <w:pStyle w:val="Compact"/>
              <w:jc w:val="right"/>
            </w:pPr>
            <w:r>
              <w:t xml:space="preserve">-2.8</w:t>
            </w:r>
          </w:p>
        </w:tc>
      </w:tr>
      <w:tr>
        <w:tc>
          <w:tcPr/>
          <w:p>
            <w:pPr>
              <w:pStyle w:val="Compact"/>
              <w:jc w:val="left"/>
            </w:pPr>
            <w:r>
              <w:t xml:space="preserve">Education (per year)</w:t>
            </w:r>
          </w:p>
        </w:tc>
        <w:tc>
          <w:tcPr/>
          <w:p>
            <w:pPr>
              <w:pStyle w:val="Compact"/>
              <w:jc w:val="right"/>
            </w:pPr>
            <w:r>
              <w:t xml:space="preserve">-0.010</w:t>
            </w:r>
          </w:p>
        </w:tc>
        <w:tc>
          <w:tcPr/>
          <w:p>
            <w:pPr>
              <w:pStyle w:val="Compact"/>
              <w:jc w:val="right"/>
            </w:pPr>
            <w:r>
              <w:t xml:space="preserve">+0.276</w:t>
            </w:r>
          </w:p>
        </w:tc>
        <w:tc>
          <w:tcPr/>
          <w:p>
            <w:pPr>
              <w:pStyle w:val="Compact"/>
              <w:jc w:val="right"/>
            </w:pPr>
            <w:r>
              <w:t xml:space="preserve">-0.0029</w:t>
            </w:r>
          </w:p>
        </w:tc>
        <w:tc>
          <w:tcPr/>
          <w:p>
            <w:pPr>
              <w:pStyle w:val="Compact"/>
              <w:jc w:val="right"/>
            </w:pPr>
            <w:r>
              <w:t xml:space="preserve">-3.2</w:t>
            </w:r>
          </w:p>
        </w:tc>
      </w:tr>
      <w:tr>
        <w:tc>
          <w:tcPr/>
          <w:p>
            <w:pPr>
              <w:pStyle w:val="Compact"/>
              <w:jc w:val="left"/>
            </w:pPr>
            <w:r>
              <w:t xml:space="preserve">Rural residence</w:t>
            </w:r>
          </w:p>
        </w:tc>
        <w:tc>
          <w:tcPr/>
          <w:p>
            <w:pPr>
              <w:pStyle w:val="Compact"/>
              <w:jc w:val="right"/>
            </w:pPr>
            <w:r>
              <w:t xml:space="preserve">0.256</w:t>
            </w:r>
          </w:p>
        </w:tc>
        <w:tc>
          <w:tcPr/>
          <w:p>
            <w:pPr>
              <w:pStyle w:val="Compact"/>
              <w:jc w:val="right"/>
            </w:pPr>
            <w:r>
              <w:t xml:space="preserve">-0.089</w:t>
            </w:r>
          </w:p>
        </w:tc>
        <w:tc>
          <w:tcPr/>
          <w:p>
            <w:pPr>
              <w:pStyle w:val="Compact"/>
              <w:jc w:val="right"/>
            </w:pPr>
            <w:r>
              <w:t xml:space="preserve">-0.0227</w:t>
            </w:r>
          </w:p>
        </w:tc>
        <w:tc>
          <w:tcPr/>
          <w:p>
            <w:pPr>
              <w:pStyle w:val="Compact"/>
              <w:jc w:val="right"/>
            </w:pPr>
            <w:r>
              <w:t xml:space="preserve">-25.1</w:t>
            </w:r>
          </w:p>
        </w:tc>
      </w:tr>
    </w:tbl>
    <w:p>
      <w:pPr>
        <w:pStyle w:val="BodyText"/>
      </w:pPr>
      <w:r>
        <w:rPr>
          <w:i/>
          <w:iCs/>
        </w:rPr>
        <w:t xml:space="preserve">A positive contribution pushes catastrophic spending towards better-off households; a negative contribution pushes it towards poorer households. Multimorbidity (concentrated among the better-off) is the main pro-rich force; rural residence is the main pro-poor force.</w:t>
      </w:r>
    </w:p>
    <w:bookmarkEnd w:id="14"/>
    <w:bookmarkStart w:id="15" w:name="Xba955aeb5100118857d8d534ba4d175bb6436ba"/>
    <w:p>
      <w:pPr>
        <w:pStyle w:val="Heading2"/>
      </w:pPr>
      <w:r>
        <w:t xml:space="preserve">S7. Two-part model of out-of-pocket spending (selected coefficients)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Predictor</w:t>
            </w:r>
          </w:p>
        </w:tc>
        <w:tc>
          <w:tcPr/>
          <w:p>
            <w:pPr>
              <w:pStyle w:val="Compact"/>
              <w:jc w:val="left"/>
            </w:pPr>
            <w:r>
              <w:t xml:space="preserve">Part 1: odds of any spending, OR (95% CI)</w:t>
            </w:r>
          </w:p>
        </w:tc>
        <w:tc>
          <w:tcPr/>
          <w:p>
            <w:pPr>
              <w:pStyle w:val="Compact"/>
              <w:jc w:val="left"/>
            </w:pPr>
            <w:r>
              <w:t xml:space="preserve">Part 2: ratio on amount among spenders (95% CI)</w:t>
            </w:r>
          </w:p>
        </w:tc>
      </w:tr>
      <w:tr>
        <w:tc>
          <w:tcPr/>
          <w:p>
            <w:pPr>
              <w:pStyle w:val="Compact"/>
              <w:jc w:val="left"/>
            </w:pPr>
            <w:r>
              <w:t xml:space="preserve">Rural residence</w:t>
            </w:r>
          </w:p>
        </w:tc>
        <w:tc>
          <w:tcPr/>
          <w:p>
            <w:pPr>
              <w:pStyle w:val="Compact"/>
              <w:jc w:val="left"/>
            </w:pPr>
            <w:r>
              <w:t xml:space="preserve">1.32 (1.24-1.41)</w:t>
            </w:r>
          </w:p>
        </w:tc>
        <w:tc>
          <w:tcPr/>
          <w:p>
            <w:pPr>
              <w:pStyle w:val="Compact"/>
              <w:jc w:val="left"/>
            </w:pPr>
            <w:r>
              <w:t xml:space="preserve">1.01 (0.95-1.07)</w:t>
            </w:r>
          </w:p>
        </w:tc>
      </w:tr>
      <w:tr>
        <w:tc>
          <w:tcPr/>
          <w:p>
            <w:pPr>
              <w:pStyle w:val="Compact"/>
              <w:jc w:val="left"/>
            </w:pPr>
            <w:r>
              <w:t xml:space="preserve">Multimorbidity (2+)</w:t>
            </w:r>
          </w:p>
        </w:tc>
        <w:tc>
          <w:tcPr/>
          <w:p>
            <w:pPr>
              <w:pStyle w:val="Compact"/>
              <w:jc w:val="left"/>
            </w:pPr>
            <w:r>
              <w:t xml:space="preserve">1.72 (1.59-1.85)</w:t>
            </w:r>
          </w:p>
        </w:tc>
        <w:tc>
          <w:tcPr/>
          <w:p>
            <w:pPr>
              <w:pStyle w:val="Compact"/>
              <w:jc w:val="left"/>
            </w:pPr>
            <w:r>
              <w:t xml:space="preserve">1.46 (1.38-1.55)</w:t>
            </w:r>
          </w:p>
        </w:tc>
      </w:tr>
      <w:tr>
        <w:tc>
          <w:tcPr/>
          <w:p>
            <w:pPr>
              <w:pStyle w:val="Compact"/>
              <w:jc w:val="left"/>
            </w:pPr>
            <w:r>
              <w:t xml:space="preserve">Functional limitation</w:t>
            </w:r>
          </w:p>
        </w:tc>
        <w:tc>
          <w:tcPr/>
          <w:p>
            <w:pPr>
              <w:pStyle w:val="Compact"/>
              <w:jc w:val="left"/>
            </w:pPr>
            <w:r>
              <w:t xml:space="preserve">1.59 (1.49-1.69)</w:t>
            </w:r>
          </w:p>
        </w:tc>
        <w:tc>
          <w:tcPr/>
          <w:p>
            <w:pPr>
              <w:pStyle w:val="Compact"/>
              <w:jc w:val="left"/>
            </w:pPr>
            <w:r>
              <w:t xml:space="preserve">1.06 (0.99-1.12)</w:t>
            </w:r>
          </w:p>
        </w:tc>
      </w:tr>
      <w:tr>
        <w:tc>
          <w:tcPr/>
          <w:p>
            <w:pPr>
              <w:pStyle w:val="Compact"/>
              <w:jc w:val="left"/>
            </w:pPr>
            <w:r>
              <w:t xml:space="preserve">Age (per year)</w:t>
            </w:r>
          </w:p>
        </w:tc>
        <w:tc>
          <w:tcPr/>
          <w:p>
            <w:pPr>
              <w:pStyle w:val="Compact"/>
              <w:jc w:val="left"/>
            </w:pPr>
            <w:r>
              <w:t xml:space="preserve">1.00 (0.99-1.00)</w:t>
            </w:r>
          </w:p>
        </w:tc>
        <w:tc>
          <w:tcPr/>
          <w:p>
            <w:pPr>
              <w:pStyle w:val="Compact"/>
              <w:jc w:val="left"/>
            </w:pPr>
            <w:r>
              <w:t xml:space="preserve">1.00 (1.00-1.01)</w:t>
            </w:r>
          </w:p>
        </w:tc>
      </w:tr>
      <w:tr>
        <w:tc>
          <w:tcPr/>
          <w:p>
            <w:pPr>
              <w:pStyle w:val="Compact"/>
              <w:jc w:val="left"/>
            </w:pPr>
            <w:r>
              <w:t xml:space="preserve">Female sex</w:t>
            </w:r>
          </w:p>
        </w:tc>
        <w:tc>
          <w:tcPr/>
          <w:p>
            <w:pPr>
              <w:pStyle w:val="Compact"/>
              <w:jc w:val="left"/>
            </w:pPr>
            <w:r>
              <w:t xml:space="preserve">0.90 (0.85-0.95)</w:t>
            </w:r>
          </w:p>
        </w:tc>
        <w:tc>
          <w:tcPr/>
          <w:p>
            <w:pPr>
              <w:pStyle w:val="Compact"/>
              <w:jc w:val="left"/>
            </w:pPr>
            <w:r>
              <w:t xml:space="preserve">1.00 (0.95-1.05)</w:t>
            </w:r>
          </w:p>
        </w:tc>
      </w:tr>
      <w:tr>
        <w:tc>
          <w:tcPr/>
          <w:p>
            <w:pPr>
              <w:pStyle w:val="Compact"/>
              <w:jc w:val="left"/>
            </w:pPr>
            <w:r>
              <w:t xml:space="preserve">Any pension</w:t>
            </w:r>
          </w:p>
        </w:tc>
        <w:tc>
          <w:tcPr/>
          <w:p>
            <w:pPr>
              <w:pStyle w:val="Compact"/>
              <w:jc w:val="left"/>
            </w:pPr>
            <w:r>
              <w:t xml:space="preserve">1.02 (0.94-1.11)</w:t>
            </w:r>
          </w:p>
        </w:tc>
        <w:tc>
          <w:tcPr/>
          <w:p>
            <w:pPr>
              <w:pStyle w:val="Compact"/>
              <w:jc w:val="left"/>
            </w:pPr>
            <w:r>
              <w:t xml:space="preserve">1.19 (1.10-1.28)</w:t>
            </w:r>
          </w:p>
        </w:tc>
      </w:tr>
      <w:tr>
        <w:tc>
          <w:tcPr/>
          <w:p>
            <w:pPr>
              <w:pStyle w:val="Compact"/>
              <w:jc w:val="left"/>
            </w:pPr>
            <w:r>
              <w:t xml:space="preserve">Education (per year)</w:t>
            </w:r>
          </w:p>
        </w:tc>
        <w:tc>
          <w:tcPr/>
          <w:p>
            <w:pPr>
              <w:pStyle w:val="Compact"/>
              <w:jc w:val="left"/>
            </w:pPr>
            <w:r>
              <w:t xml:space="preserve">1.04 (1.02-1.06)</w:t>
            </w:r>
          </w:p>
        </w:tc>
        <w:tc>
          <w:tcPr/>
          <w:p>
            <w:pPr>
              <w:pStyle w:val="Compact"/>
              <w:jc w:val="left"/>
            </w:pPr>
            <w:r>
              <w:t xml:space="preserve">1.07 (1.05-1.08)</w:t>
            </w:r>
          </w:p>
        </w:tc>
      </w:tr>
    </w:tbl>
    <w:p>
      <w:pPr>
        <w:pStyle w:val="BodyText"/>
      </w:pPr>
      <w:r>
        <w:rPr>
          <w:i/>
          <w:iCs/>
        </w:rPr>
        <w:t xml:space="preserve">Part 1, logistic regression of reporting any out-of-pocket spending; Part 2, gamma regression with a log link for the amount among those who spent. Multimorbidity raises both the likelihood and the size of spending.</w:t>
      </w:r>
    </w:p>
    <w:bookmarkEnd w:id="15"/>
    <w:bookmarkStart w:id="22" w:name="supplementary-figures"/>
    <w:p>
      <w:pPr>
        <w:pStyle w:val="Heading2"/>
      </w:pPr>
      <w:r>
        <w:t xml:space="preserve">Supplementary figures</w:t>
      </w:r>
    </w:p>
    <w:p>
      <w:pPr>
        <w:pStyle w:val="FirstParagraph"/>
      </w:pPr>
      <w:r>
        <w:rPr>
          <w:b/>
          <w:bCs/>
        </w:rPr>
        <w:t xml:space="preserve">Supplementary Figure S1.</w:t>
      </w:r>
      <w:r>
        <w:t xml:space="preserve"> </w:t>
      </w:r>
      <w:r>
        <w:t xml:space="preserve">Concentration curve for catastrophic spending (&gt;40% of capacity to pay) against cumulative population ranked by per-capita consumption. The curve lies below the line of equality, indicating mild concentration among better-off households (concentration index +0.090).</w:t>
      </w:r>
    </w:p>
    <w:p>
      <w:pPr>
        <w:pStyle w:val="CaptionedFigure"/>
      </w:pPr>
      <w:r>
        <w:drawing>
          <wp:inline>
            <wp:extent cx="5334000" cy="4882728"/>
            <wp:effectExtent b="0" l="0" r="0" t="0"/>
            <wp:docPr descr="Supplementary Figure S1" title="" id="17" name="Picture"/>
            <a:graphic>
              <a:graphicData uri="http://schemas.openxmlformats.org/drawingml/2006/picture">
                <pic:pic>
                  <pic:nvPicPr>
                    <pic:cNvPr descr="figures/Figure_S1.png" id="18" name="Picture"/>
                    <pic:cNvPicPr>
                      <a:picLocks noChangeArrowheads="1" noChangeAspect="1"/>
                    </pic:cNvPicPr>
                  </pic:nvPicPr>
                  <pic:blipFill>
                    <a:blip r:embed="rId16"/>
                    <a:stretch>
                      <a:fillRect/>
                    </a:stretch>
                  </pic:blipFill>
                  <pic:spPr bwMode="auto">
                    <a:xfrm>
                      <a:off x="0" y="0"/>
                      <a:ext cx="5334000" cy="4882728"/>
                    </a:xfrm>
                    <a:prstGeom prst="rect">
                      <a:avLst/>
                    </a:prstGeom>
                    <a:noFill/>
                    <a:ln w="9525">
                      <a:noFill/>
                      <a:headEnd/>
                      <a:tailEnd/>
                    </a:ln>
                  </pic:spPr>
                </pic:pic>
              </a:graphicData>
            </a:graphic>
          </wp:inline>
        </w:drawing>
      </w:r>
    </w:p>
    <w:p>
      <w:pPr>
        <w:pStyle w:val="ImageCaption"/>
      </w:pPr>
      <w:r>
        <w:t xml:space="preserve">Supplementary Figure S1</w:t>
      </w:r>
    </w:p>
    <w:p>
      <w:pPr>
        <w:pStyle w:val="BodyText"/>
      </w:pPr>
      <w:r>
        <w:rPr>
          <w:b/>
          <w:bCs/>
        </w:rPr>
        <w:t xml:space="preserve">Supplementary Figure S2.</w:t>
      </w:r>
      <w:r>
        <w:t xml:space="preserve"> </w:t>
      </w:r>
      <w:r>
        <w:t xml:space="preserve">The economic value of unpaid family caregiving for older adults: percentage receiving care, mean weekly hours, value per recipient and national annual value (replacement-cost method, base-case wage).</w:t>
      </w:r>
    </w:p>
    <w:p>
      <w:pPr>
        <w:pStyle w:val="CaptionedFigure"/>
      </w:pPr>
      <w:r>
        <w:drawing>
          <wp:inline>
            <wp:extent cx="5334000" cy="4486632"/>
            <wp:effectExtent b="0" l="0" r="0" t="0"/>
            <wp:docPr descr="Supplementary Figure S2" title="" id="20" name="Picture"/>
            <a:graphic>
              <a:graphicData uri="http://schemas.openxmlformats.org/drawingml/2006/picture">
                <pic:pic>
                  <pic:nvPicPr>
                    <pic:cNvPr descr="figures/Figure_S2.png" id="21" name="Picture"/>
                    <pic:cNvPicPr>
                      <a:picLocks noChangeArrowheads="1" noChangeAspect="1"/>
                    </pic:cNvPicPr>
                  </pic:nvPicPr>
                  <pic:blipFill>
                    <a:blip r:embed="rId19"/>
                    <a:stretch>
                      <a:fillRect/>
                    </a:stretch>
                  </pic:blipFill>
                  <pic:spPr bwMode="auto">
                    <a:xfrm>
                      <a:off x="0" y="0"/>
                      <a:ext cx="5334000" cy="4486632"/>
                    </a:xfrm>
                    <a:prstGeom prst="rect">
                      <a:avLst/>
                    </a:prstGeom>
                    <a:noFill/>
                    <a:ln w="9525">
                      <a:noFill/>
                      <a:headEnd/>
                      <a:tailEnd/>
                    </a:ln>
                  </pic:spPr>
                </pic:pic>
              </a:graphicData>
            </a:graphic>
          </wp:inline>
        </w:drawing>
      </w:r>
    </w:p>
    <w:p>
      <w:pPr>
        <w:pStyle w:val="ImageCaption"/>
      </w:pPr>
      <w:r>
        <w:t xml:space="preserve">Supplementary Figure S2</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2026-06-26T12:07:57Z</dcterms:created>
  <dcterms:modified xsi:type="dcterms:W3CDTF">2026-06-26T12:07:57Z</dcterms:modified>
</cp:coreProperties>
</file>

<file path=docProps/custom.xml><?xml version="1.0" encoding="utf-8"?>
<Properties xmlns="http://schemas.openxmlformats.org/officeDocument/2006/custom-properties" xmlns:vt="http://schemas.openxmlformats.org/officeDocument/2006/docPropsVTypes"/>
</file>