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5403" w14:textId="77777777" w:rsidR="00B538E6" w:rsidRDefault="00000000">
      <w:pPr>
        <w:pStyle w:val="Heading1"/>
      </w:pPr>
      <w:bookmarkStart w:id="0" w:name="cover-letter-discover-aging"/>
      <w:r>
        <w:t>Cover letter — Discover Aging</w:t>
      </w:r>
    </w:p>
    <w:p w14:paraId="5DB1C863" w14:textId="60EB7D71" w:rsidR="00B538E6" w:rsidRDefault="00FA36F3" w:rsidP="00FA36F3">
      <w:pPr>
        <w:pStyle w:val="FirstParagraph"/>
        <w:jc w:val="right"/>
      </w:pPr>
      <w:r>
        <w:t>Date: 12/06/2026</w:t>
      </w:r>
    </w:p>
    <w:p w14:paraId="08615AE1" w14:textId="77777777" w:rsidR="00B538E6" w:rsidRDefault="00000000">
      <w:pPr>
        <w:pStyle w:val="BodyText"/>
      </w:pPr>
      <w:r>
        <w:t xml:space="preserve">To the Editors, </w:t>
      </w:r>
      <w:r>
        <w:rPr>
          <w:i/>
          <w:iCs/>
        </w:rPr>
        <w:t>Discover Aging</w:t>
      </w:r>
      <w:r>
        <w:t xml:space="preserve"> (Springer Nature)</w:t>
      </w:r>
    </w:p>
    <w:p w14:paraId="19E82635" w14:textId="77777777" w:rsidR="00B538E6" w:rsidRDefault="00000000">
      <w:pPr>
        <w:pStyle w:val="BodyText"/>
      </w:pPr>
      <w:r>
        <w:t>Dear Editors,</w:t>
      </w:r>
    </w:p>
    <w:p w14:paraId="7A0E8921" w14:textId="77777777" w:rsidR="00B538E6" w:rsidRDefault="00000000">
      <w:pPr>
        <w:pStyle w:val="BodyText"/>
      </w:pPr>
      <w:r>
        <w:t xml:space="preserve">I am pleased to submit our original research article, </w:t>
      </w:r>
      <w:r>
        <w:rPr>
          <w:b/>
          <w:bCs/>
        </w:rPr>
        <w:t>“The hidden burden of biological ageing in India: undiagnosed cardiometabolic, inflammatory and haematologic risk among adults aged 45 years and older, and its social patterning (LASI Wave 1)”</w:t>
      </w:r>
      <w:r>
        <w:t>, for consideration as a Research Article.</w:t>
      </w:r>
    </w:p>
    <w:p w14:paraId="1AAFBAF1" w14:textId="77777777" w:rsidR="00B538E6" w:rsidRDefault="00000000">
      <w:pPr>
        <w:pStyle w:val="BodyText"/>
      </w:pPr>
      <w:r>
        <w:t>Using directly measured biomarkers, blood pressure, spirometry, grip strength and anthropometry from the nationally representative Longitudinal Ageing Study in India (Wave 1, n = 66,470 adults aged 45+), we quantify the gap between biologically measured and self-reported ageing-related disease and show who is left behind by diagnosis. Our central findings are that roughly half of biochemical diabetes and nearly two-thirds of measured hypertension in older Indians are undiagnosed; that this diagnosis gap is concentrated in rural, less-educated and poorer adults; and that India’s older population carries a dual burden in which cardiometabolic excess and deficit/inflammatory ageing fall on different social groups and different states.</w:t>
      </w:r>
    </w:p>
    <w:p w14:paraId="62A35E14" w14:textId="77777777" w:rsidR="00B538E6" w:rsidRDefault="00000000">
      <w:pPr>
        <w:pStyle w:val="BodyText"/>
      </w:pPr>
      <w:r>
        <w:t xml:space="preserve">We believe the work fits </w:t>
      </w:r>
      <w:r>
        <w:rPr>
          <w:i/>
          <w:iCs/>
        </w:rPr>
        <w:t>Discover Aging</w:t>
      </w:r>
      <w:r>
        <w:t xml:space="preserve">’s scope (biomarkers of aging; age-related cardiometabolic disease; translational and policy-relevant ageing research) and its commitment to methodologically sound, transparently reported science. In keeping with that ethos we report incremental predictive value honestly, including where measured biomarkers do </w:t>
      </w:r>
      <w:r>
        <w:rPr>
          <w:i/>
          <w:iCs/>
        </w:rPr>
        <w:t>not</w:t>
      </w:r>
      <w:r>
        <w:t xml:space="preserve"> outperform self-reported disease, and we deliberately avoid the conceptually circular composite “vulnerability indices” that have weakened prior work in this area; biology, social determinants and outcomes are kept strictly separate, and abnormality is defined by external clinical thresholds rather than data-derived weights.</w:t>
      </w:r>
    </w:p>
    <w:p w14:paraId="305D1DC0" w14:textId="77777777" w:rsidR="00B538E6" w:rsidRDefault="00000000">
      <w:pPr>
        <w:pStyle w:val="BodyText"/>
      </w:pPr>
      <w:r>
        <w:t>The work is directly aligned with the UN Sustainable Development Goals (Good Health and Well-Being; Reduced Inequalities) and has an actionable implication for Indian primary care: opportunistic biological screening (HbA1c, blood pressure) targeted to disadvantaged older adults could close a large, inequitable diagnosis gap.</w:t>
      </w:r>
    </w:p>
    <w:p w14:paraId="7F4B2B95" w14:textId="77777777" w:rsidR="00B538E6" w:rsidRDefault="00000000">
      <w:pPr>
        <w:pStyle w:val="BodyText"/>
      </w:pPr>
      <w:r>
        <w:t>This manuscript is original, is not under consideration elsewhere, and all analyses are reproducible from the source data under the providers’ access conditions. The author declares no competing interests and received no specific funding. We suggest the manuscript may be suitable for editors handling population ageing, biomarkers of aging and health-systems/equity topics.</w:t>
      </w:r>
    </w:p>
    <w:p w14:paraId="01D3F55C" w14:textId="77777777" w:rsidR="00B538E6" w:rsidRDefault="00000000">
      <w:pPr>
        <w:pStyle w:val="BodyText"/>
      </w:pPr>
      <w:r>
        <w:t>Thank you for considering our submission.</w:t>
      </w:r>
    </w:p>
    <w:p w14:paraId="3B787236" w14:textId="77777777" w:rsidR="00B538E6" w:rsidRDefault="00000000">
      <w:pPr>
        <w:pStyle w:val="BodyText"/>
      </w:pPr>
      <w:r>
        <w:t>Yours sincerely,</w:t>
      </w:r>
    </w:p>
    <w:p w14:paraId="16C24668" w14:textId="77777777" w:rsidR="00B538E6" w:rsidRDefault="00000000">
      <w:pPr>
        <w:pStyle w:val="BodyText"/>
      </w:pPr>
      <w:r>
        <w:lastRenderedPageBreak/>
        <w:t>Dr Siddalingaiah H S Professor, Department of Community Medicine Shridevi Institute of Medical Sciences and Research Hospital, Tumkur, Karnataka, India hssling@yahoo.com · ORCID 0000-0002-4771-8285</w:t>
      </w:r>
      <w:bookmarkEnd w:id="0"/>
    </w:p>
    <w:sectPr w:rsidR="00B538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1"/>
    <w:family w:val="roman"/>
    <w:pitch w:val="variable"/>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62CF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0330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38E6"/>
    <w:rsid w:val="00B538E6"/>
    <w:rsid w:val="00EC5C62"/>
    <w:rsid w:val="00FA36F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D3C8"/>
  <w15:docId w15:val="{0579B3F8-EB4D-40A9-9A5D-459F80C4A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Siddalingaiah H S</cp:lastModifiedBy>
  <cp:revision>2</cp:revision>
  <dcterms:created xsi:type="dcterms:W3CDTF">2026-06-12T14:39:00Z</dcterms:created>
  <dcterms:modified xsi:type="dcterms:W3CDTF">2026-06-12T14:43:00Z</dcterms:modified>
</cp:coreProperties>
</file>