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tables-main-text"/>
    <w:p>
      <w:pPr>
        <w:pStyle w:val="Heading1"/>
      </w:pPr>
      <w:r>
        <w:t xml:space="preserve">Tables (main text)</w:t>
      </w:r>
    </w:p>
    <w:bookmarkStart w:id="9" w:name="Xda021f9c637f44def2c5ea6faf5910067ed8918"/>
    <w:p>
      <w:pPr>
        <w:pStyle w:val="Heading2"/>
      </w:pPr>
      <w:r>
        <w:t xml:space="preserve">Table 1. The diagnosis gap: biologically measured vs self-reported disease (weighted %, 95% CI)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2376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weighted_pct_95CI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Self-reported diabetes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 (11.5–12.4)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Biochemical diabetes (HbA1c&gt;=6.5)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 (14.7–15.9)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58289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Undiagnosed among biochemically diabetic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51.3 (49.8–52.7)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Self-reported hypertension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 (25.5–26.7)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66283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Measured hypertension (&gt;=140/90 mmHg)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31.3 (30.6–31.9)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60373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Undiagnosed among measured-hypertensive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63.8 (62.8–65.0)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29.9 (29.2–30.7)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58294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Elevated CRP (&gt;3 mg/L)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 (9.2–9.9)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58288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obesity (IDF Asian)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47.3 (46.2–48.3)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59789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subclinical burden (&gt;=3 systems)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23.2 (22.6–23.9)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58151</w:t>
            </w:r>
          </w:p>
        </w:tc>
      </w:tr>
    </w:tbl>
    <w:bookmarkEnd w:id="9"/>
    <w:bookmarkStart w:id="10" w:name="X3151dcd3c20fe99a8322e469421bc25b8eb353d"/>
    <w:p>
      <w:pPr>
        <w:pStyle w:val="Heading2"/>
      </w:pPr>
      <w:r>
        <w:t xml:space="preserve">Table 2. Social patterning of undiagnosed disease and high biological burden (weighted %)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352"/>
        <w:gridCol w:w="2028"/>
        <w:gridCol w:w="1545"/>
        <w:gridCol w:w="18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undx_diabetes_pct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undx_htn_pct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high_burden_pct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edu_grp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education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edu_grp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1-5 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edu_grp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 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wealth_grp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wealth_grp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wealth_grp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26.3</w:t>
            </w:r>
          </w:p>
        </w:tc>
      </w:tr>
    </w:tbl>
    <w:bookmarkEnd w:id="10"/>
    <w:bookmarkStart w:id="11" w:name="X8ce077aeb4d4b696bd515993a6b2d8b7d084d58"/>
    <w:p>
      <w:pPr>
        <w:pStyle w:val="Heading2"/>
      </w:pPr>
      <w:r>
        <w:t xml:space="preserve">Table 3. Incremental value for predicting past-year hospitalisation (nested models)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9"/>
        <w:gridCol w:w="3429"/>
        <w:gridCol w:w="571"/>
        <w:gridCol w:w="1714"/>
        <w:gridCol w:w="7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AUROC_95CI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hospitalised_12m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 age+sex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0.548 (0.538-0.558)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26051.5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hospitalised_12m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 +social/behaviour (simple indicators)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0.568 (0.561-0.578)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25919.7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hospitalised_12m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 +self-reported disease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0.614 (0.606-0.623)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25351.1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hospitalised_12m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 +measured biomarker burden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0.615 (0.607-0.624)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25343.1</w:t>
            </w:r>
          </w:p>
        </w:tc>
      </w:tr>
    </w:tbl>
    <w:bookmarkEnd w:id="11"/>
    <w:bookmarkStart w:id="12" w:name="X9775a58880224b4ed999da38ceabc14f335cc76"/>
    <w:p>
      <w:pPr>
        <w:pStyle w:val="Heading2"/>
      </w:pPr>
      <w:r>
        <w:t xml:space="preserve">Table 4. Hidden burden among the self-reported healthy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2785"/>
        <w:gridCol w:w="60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high_burden_pct_95CI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Self-reported healthy (0 diagnosed conditions)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 (14.9–16.1)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 hospitalisation per +1 burden (healthy-looking)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OR=1.10 (1.03-1.18); p=7.4e-03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17360</w:t>
            </w:r>
          </w:p>
        </w:tc>
      </w:tr>
    </w:tbl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2026-06-12T14:58:05Z</dcterms:created>
  <dcterms:modified xsi:type="dcterms:W3CDTF">2026-06-12T14:58:05Z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