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diagnosis gap: weighted prevalence of biologically measured versus self-reported diabetes and hypertension among adults aged 45+ (LASI Wave 1). Annotations show the percentage of biologically affected respondents who were undiagnosed.</w:t>
      </w:r>
    </w:p>
    <w:p>
      <w:pPr>
        <w:pStyle w:val="CaptionedFigure"/>
      </w:pPr>
      <w:r>
        <w:drawing>
          <wp:inline>
            <wp:extent cx="5334000" cy="2870643"/>
            <wp:effectExtent b="0" l="0" r="0" t="0"/>
            <wp:docPr descr="Figure 1" title="" id="10" name="Picture"/>
            <a:graphic>
              <a:graphicData uri="http://schemas.openxmlformats.org/drawingml/2006/picture">
                <pic:pic>
                  <pic:nvPicPr>
                    <pic:cNvPr descr="../outputs/figures/fig1_diagnosis_ga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Social patterning of undiagnosed diabetes (among the biochemically diabetic), by residence, sex, education and household wealth.</w:t>
      </w:r>
    </w:p>
    <w:p>
      <w:pPr>
        <w:pStyle w:val="CaptionedFigure"/>
      </w:pPr>
      <w:r>
        <w:drawing>
          <wp:inline>
            <wp:extent cx="5334000" cy="1933863"/>
            <wp:effectExtent b="0" l="0" r="0" t="0"/>
            <wp:docPr descr="Figure 2" title="" id="13" name="Picture"/>
            <a:graphic>
              <a:graphicData uri="http://schemas.openxmlformats.org/drawingml/2006/picture">
                <pic:pic>
                  <pic:nvPicPr>
                    <pic:cNvPr descr="../outputs/figures/fig2_social_patternin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Incremental value of measured biomarker burden for predicting past-year hospitalisation: AUROC (95% CI) across nested models.</w:t>
      </w:r>
    </w:p>
    <w:p>
      <w:pPr>
        <w:pStyle w:val="CaptionedFigure"/>
      </w:pPr>
      <w:r>
        <w:drawing>
          <wp:inline>
            <wp:extent cx="5334000" cy="2021966"/>
            <wp:effectExtent b="0" l="0" r="0" t="0"/>
            <wp:docPr descr="Figure 3" title="" id="16" name="Picture"/>
            <a:graphic>
              <a:graphicData uri="http://schemas.openxmlformats.org/drawingml/2006/picture">
                <pic:pic>
                  <pic:nvPicPr>
                    <pic:cNvPr descr="../outputs/figures/fig3_incremental_valu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State/union-territory surveillance: weighted prevalence of high multi-system biological burden (&gt;=3 abnormal systems).</w:t>
      </w:r>
    </w:p>
    <w:p>
      <w:pPr>
        <w:pStyle w:val="CaptionedFigure"/>
      </w:pPr>
      <w:r>
        <w:drawing>
          <wp:inline>
            <wp:extent cx="5334000" cy="4205395"/>
            <wp:effectExtent b="0" l="0" r="0" t="0"/>
            <wp:docPr descr="Figure 4" title="" id="19" name="Picture"/>
            <a:graphic>
              <a:graphicData uri="http://schemas.openxmlformats.org/drawingml/2006/picture">
                <pic:pic>
                  <pic:nvPicPr>
                    <pic:cNvPr descr="../outputs/figures/fig4_state_ranking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5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Supplementary Figure S1.</w:t>
      </w:r>
      <w:r>
        <w:t xml:space="preserve"> </w:t>
      </w:r>
      <w:r>
        <w:t xml:space="preserve">Adjusted predictors (incidence-rate ratios) of the subclinical biomarker burden count. The count conflates opposing phenotypes; domain-specific associations (Supplementary Table S4) are the primary exposome analysis.</w:t>
      </w:r>
    </w:p>
    <w:p>
      <w:pPr>
        <w:pStyle w:val="CaptionedFigure"/>
      </w:pPr>
      <w:r>
        <w:drawing>
          <wp:inline>
            <wp:extent cx="5334000" cy="3186896"/>
            <wp:effectExtent b="0" l="0" r="0" t="0"/>
            <wp:docPr descr="Supplementary Figure S1" title="" id="22" name="Picture"/>
            <a:graphic>
              <a:graphicData uri="http://schemas.openxmlformats.org/drawingml/2006/picture">
                <pic:pic>
                  <pic:nvPicPr>
                    <pic:cNvPr descr="../outputs/figures/fig5_exposome_predictor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2026-06-12T14:57:37Z</dcterms:created>
  <dcterms:modified xsi:type="dcterms:W3CDTF">2026-06-12T14:57:37Z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