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0ff30240e65aaa18aec362d16f4e4321014fef"/>
    <w:p>
      <w:pPr>
        <w:pStyle w:val="Heading1"/>
      </w:pPr>
      <w:r>
        <w:t xml:space="preserve">How the revised study addresses every IJMR reviewer concern</w:t>
      </w:r>
    </w:p>
    <w:p>
      <w:pPr>
        <w:pStyle w:val="FirstParagraph"/>
      </w:pPr>
      <w:r>
        <w:t xml:space="preserve">This internal document maps each Indian Journal of Medical Research (IJMR_1754_2026) reviewer</w:t>
      </w:r>
      <w:r>
        <w:t xml:space="preserve"> </w:t>
      </w:r>
      <w:r>
        <w:t xml:space="preserve">comment to the specific change made in the redesigned study submitted to</w:t>
      </w:r>
      <w:r>
        <w:t xml:space="preserve"> </w:t>
      </w:r>
      <w:r>
        <w:rPr>
          <w:i/>
          <w:iCs/>
        </w:rPr>
        <w:t xml:space="preserve">Discover Aging</w:t>
      </w:r>
      <w:r>
        <w:t xml:space="preserve">. The</w:t>
      </w:r>
      <w:r>
        <w:t xml:space="preserve"> </w:t>
      </w:r>
      <w:r>
        <w:t xml:space="preserve">redesign does not patch the old index; it replaces the flawed construct and reframes the research</w:t>
      </w:r>
      <w:r>
        <w:t xml:space="preserve"> </w:t>
      </w:r>
      <w:r>
        <w:t xml:space="preserve">question around what the data can rigorously support.</w:t>
      </w:r>
    </w:p>
    <w:bookmarkStart w:id="9" w:name="root-cause-summary"/>
    <w:p>
      <w:pPr>
        <w:pStyle w:val="Heading2"/>
      </w:pPr>
      <w:r>
        <w:t xml:space="preserve">Root-cause summary</w:t>
      </w:r>
    </w:p>
    <w:p>
      <w:pPr>
        <w:pStyle w:val="FirstParagraph"/>
      </w:pPr>
      <w:r>
        <w:t xml:space="preserve">The rejected paper built an</w:t>
      </w:r>
      <w:r>
        <w:t xml:space="preserve"> </w:t>
      </w:r>
      <w:r>
        <w:t xml:space="preserve">“integrated biological ageing vulnerability (BAV)”</w:t>
      </w:r>
      <w:r>
        <w:t xml:space="preserve"> </w:t>
      </w:r>
      <w:r>
        <w:t xml:space="preserve">index that mixed</w:t>
      </w:r>
      <w:r>
        <w:t xml:space="preserve"> </w:t>
      </w:r>
      <w:r>
        <w:t xml:space="preserve">biology, function, and social vulnerability, then used social/household variables to</w:t>
      </w:r>
      <w:r>
        <w:t xml:space="preserve"> </w:t>
      </w:r>
      <w:r>
        <w:t xml:space="preserve">“predict”</w:t>
      </w:r>
      <w:r>
        <w:t xml:space="preserve"> </w:t>
      </w:r>
      <w:r>
        <w:t xml:space="preserve">that</w:t>
      </w:r>
      <w:r>
        <w:t xml:space="preserve"> </w:t>
      </w:r>
      <w:r>
        <w:t xml:space="preserve">same index. This produced circularity, conceptual vagueness, a weak single-construct (PC1 = 23%),</w:t>
      </w:r>
      <w:r>
        <w:t xml:space="preserve"> </w:t>
      </w:r>
      <w:r>
        <w:t xml:space="preserve">and no validation against anything external to the index. The redesign removes the index entirely.</w:t>
      </w:r>
    </w:p>
    <w:p>
      <w:r>
        <w:pict>
          <v:rect style="width:0;height:1.5pt" o:hralign="center" o:hrstd="t" o:hr="t"/>
        </w:pict>
      </w:r>
    </w:p>
    <w:bookmarkEnd w:id="9"/>
    <w:bookmarkStart w:id="10" w:name="reviewer-1"/>
    <w:p>
      <w:pPr>
        <w:pStyle w:val="Heading2"/>
      </w:pPr>
      <w:r>
        <w:t xml:space="preserve">Reviewer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How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Needs multiple data sources, hard to standardise in low-resource settings</w:t>
            </w:r>
          </w:p>
        </w:tc>
        <w:tc>
          <w:tcPr/>
          <w:p>
            <w:pPr>
              <w:pStyle w:val="Compact"/>
            </w:pPr>
            <w:r>
              <w:t xml:space="preserve">We no longer propose a multi-domain composite for deployment. The unit of analysis is measured biomarkers already collected in a national survey (HbA1c, CRP, haemoglobin, BP, spirometry, grip, anthropometry). The policy output is the</w:t>
            </w:r>
            <w:r>
              <w:t xml:space="preserve"> </w:t>
            </w:r>
            <w:r>
              <w:rPr>
                <w:b/>
                <w:bCs/>
              </w:rPr>
              <w:t xml:space="preserve">diagnosis gap</w:t>
            </w:r>
            <w:r>
              <w:t xml:space="preserve">, actionable with a single point-of-care test (HbA1c, BP cuff).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Frailty, functional limitation, multimorbidity overlap → double counting</w:t>
            </w:r>
          </w:p>
        </w:tc>
        <w:tc>
          <w:tcPr/>
          <w:p>
            <w:pPr>
              <w:pStyle w:val="Compact"/>
            </w:pPr>
            <w:r>
              <w:t xml:space="preserve">These constructs are</w:t>
            </w:r>
            <w:r>
              <w:t xml:space="preserve"> </w:t>
            </w:r>
            <w:r>
              <w:rPr>
                <w:b/>
                <w:bCs/>
              </w:rPr>
              <w:t xml:space="preserve">removed from the exposure</w:t>
            </w:r>
            <w:r>
              <w:t xml:space="preserve">. The biological burden score contains only directly measured biomarker abnormalities; frailty/function/multimorbidity are used only as</w:t>
            </w:r>
            <w:r>
              <w:t xml:space="preserve"> </w:t>
            </w:r>
            <w:r>
              <w:rPr>
                <w:i/>
                <w:iCs/>
              </w:rPr>
              <w:t xml:space="preserve">separate outcomes</w:t>
            </w:r>
            <w:r>
              <w:t xml:space="preserve">, never as components. No double counting.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One-time measurement cannot capture dynamic change</w:t>
            </w:r>
          </w:p>
        </w:tc>
        <w:tc>
          <w:tcPr/>
          <w:p>
            <w:pPr>
              <w:pStyle w:val="Compact"/>
            </w:pPr>
            <w:r>
              <w:t xml:space="preserve">Reframed explicitly as cross-sectional</w:t>
            </w:r>
            <w:r>
              <w:t xml:space="preserve"> </w:t>
            </w:r>
            <w:r>
              <w:rPr>
                <w:b/>
                <w:bCs/>
              </w:rPr>
              <w:t xml:space="preserve">prevalence and equity</w:t>
            </w:r>
            <w:r>
              <w:t xml:space="preserve"> </w:t>
            </w:r>
            <w:r>
              <w:t xml:space="preserve">of undiagnosed biological burden, not a trajectory. Longitudinal LASI Wave 2 validation named as the explicit next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Social and depression proxies measured inconsistently vs lab biomarkers</w:t>
            </w:r>
          </w:p>
        </w:tc>
        <w:tc>
          <w:tcPr/>
          <w:p>
            <w:pPr>
              <w:pStyle w:val="Compact"/>
            </w:pPr>
            <w:r>
              <w:t xml:space="preserve">Social/psychological proxies are</w:t>
            </w:r>
            <w:r>
              <w:t xml:space="preserve"> </w:t>
            </w:r>
            <w:r>
              <w:rPr>
                <w:b/>
                <w:bCs/>
              </w:rPr>
              <w:t xml:space="preserve">dropped from the construct</w:t>
            </w:r>
            <w:r>
              <w:t xml:space="preserve">. The construct is now lab/clinically measured only. Social variables appear only as predictors of measured burden.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Influence of environmental factors acknowledged</w:t>
            </w:r>
          </w:p>
        </w:tc>
        <w:tc>
          <w:tcPr/>
          <w:p>
            <w:pPr>
              <w:pStyle w:val="Compact"/>
            </w:pPr>
            <w:r>
              <w:t xml:space="preserve">Environment is now a central, explicit</w:t>
            </w:r>
            <w:r>
              <w:t xml:space="preserve"> </w:t>
            </w:r>
            <w:r>
              <w:rPr>
                <w:i/>
                <w:iCs/>
              </w:rPr>
              <w:t xml:space="preserve">predictor</w:t>
            </w:r>
            <w:r>
              <w:t xml:space="preserve"> </w:t>
            </w:r>
            <w:r>
              <w:t xml:space="preserve">axis (household exposome), analysed with clean directionality rather than embedded in the outcome.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Urban/rural hides within-category exposome variability; no intra-state/ethnic variation</w:t>
            </w:r>
          </w:p>
        </w:tc>
        <w:tc>
          <w:tcPr/>
          <w:p>
            <w:pPr>
              <w:pStyle w:val="Compact"/>
            </w:pPr>
            <w:r>
              <w:t xml:space="preserve">We add caste, education, wealth tertile and state-level analysis, and explicitly frame urban/rural as a coarse proxy, reporting heterogeneity. Within-state geocoded exposome named as a limitation/next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Index not tested across diverse populations → limited generalisability</w:t>
            </w:r>
          </w:p>
        </w:tc>
        <w:tc>
          <w:tcPr/>
          <w:p>
            <w:pPr>
              <w:pStyle w:val="Compact"/>
            </w:pPr>
            <w:r>
              <w:t xml:space="preserve">We make no claim of a deployable index. Findings are descriptive-epidemiological for a nationally representative sample with design weights; generalisability is to the LASI target population, stated plainly.</w:t>
            </w:r>
          </w:p>
        </w:tc>
      </w:tr>
    </w:tbl>
    <w:bookmarkEnd w:id="10"/>
    <w:bookmarkStart w:id="11" w:name="reviewer-2"/>
    <w:p>
      <w:pPr>
        <w:pStyle w:val="Heading2"/>
      </w:pPr>
      <w:r>
        <w:t xml:space="preserve">Reviewer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How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Inadequate justification/weighting of the composite construct</w:t>
            </w:r>
          </w:p>
        </w:tc>
        <w:tc>
          <w:tcPr/>
          <w:p>
            <w:pPr>
              <w:pStyle w:val="Compact"/>
            </w:pPr>
            <w:r>
              <w:t xml:space="preserve">The composite is replaced by (a) clinically defined binary abnormalities with cited thresholds, and (b) an unweighted count (allostatic-load style) and Mahalanobis distance — established methods requiring no bespoke weighting.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Unclear whether biological age / frailty / vulnerability / surveillance</w:t>
            </w:r>
          </w:p>
        </w:tc>
        <w:tc>
          <w:tcPr/>
          <w:p>
            <w:pPr>
              <w:pStyle w:val="Compact"/>
            </w:pPr>
            <w:r>
              <w:t xml:space="preserve">Conceptually disambiguated: we study</w:t>
            </w:r>
            <w:r>
              <w:t xml:space="preserve"> </w:t>
            </w:r>
            <w:r>
              <w:rPr>
                <w:b/>
                <w:bCs/>
              </w:rPr>
              <w:t xml:space="preserve">undiagnosed/subclinical biological burden</w:t>
            </w:r>
            <w:r>
              <w:t xml:space="preserve"> </w:t>
            </w:r>
            <w:r>
              <w:t xml:space="preserve">(prevalence + equity), not</w:t>
            </w:r>
            <w:r>
              <w:t xml:space="preserve"> </w:t>
            </w:r>
            <w:r>
              <w:t xml:space="preserve">“biological age.”</w:t>
            </w:r>
            <w:r>
              <w:t xml:space="preserve"> </w:t>
            </w:r>
            <w:r>
              <w:t xml:space="preserve">The word</w:t>
            </w:r>
            <w:r>
              <w:t xml:space="preserve"> </w:t>
            </w:r>
            <w:r>
              <w:t xml:space="preserve">“vulnerability index”</w:t>
            </w:r>
            <w:r>
              <w:t xml:space="preserve"> </w:t>
            </w:r>
            <w:r>
              <w:t xml:space="preserve">is gone.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Missing DBS/spirometry data and selection bias not addressed</w:t>
            </w:r>
          </w:p>
        </w:tc>
        <w:tc>
          <w:tcPr/>
          <w:p>
            <w:pPr>
              <w:pStyle w:val="Compact"/>
            </w:pPr>
            <w:r>
              <w:t xml:space="preserve">Added an explicit</w:t>
            </w:r>
            <w:r>
              <w:t xml:space="preserve"> </w:t>
            </w:r>
            <w:r>
              <w:rPr>
                <w:b/>
                <w:bCs/>
              </w:rPr>
              <w:t xml:space="preserve">included-vs-excluded comparison table</w:t>
            </w:r>
            <w:r>
              <w:t xml:space="preserve"> </w:t>
            </w:r>
            <w:r>
              <w:t xml:space="preserve">and inverse-probability-of-availability weighting as sensitivity; module-specific and biomarker weights 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PCA reporting incomplete; first-PC justification weak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 is removed</w:t>
            </w:r>
            <w:r>
              <w:t xml:space="preserve"> </w:t>
            </w:r>
            <w:r>
              <w:t xml:space="preserve">as the headline construct (it explained only 23%). We report a transparent count and distance measures instead; any PCA appears only as a sensitivity comparison with full loadings/variance.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Complex sampling not transparently handled</w:t>
            </w:r>
          </w:p>
        </w:tc>
        <w:tc>
          <w:tcPr/>
          <w:p>
            <w:pPr>
              <w:pStyle w:val="Compact"/>
            </w:pPr>
            <w:r>
              <w:t xml:space="preserve">Design-based handling: person and biomarker weights applied per module;</w:t>
            </w:r>
            <w:r>
              <w:t xml:space="preserve"> </w:t>
            </w:r>
            <w:r>
              <w:rPr>
                <w:b/>
                <w:bCs/>
              </w:rPr>
              <w:t xml:space="preserve">SSU cluster-robust / cluster-bootstrap</w:t>
            </w:r>
            <w:r>
              <w:t xml:space="preserve"> </w:t>
            </w:r>
            <w:r>
              <w:t xml:space="preserve">variance; state×residence strata; limits of available design fields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Prediction target/LODO rationale/AUROC interpretation unclear</w:t>
            </w:r>
          </w:p>
        </w:tc>
        <w:tc>
          <w:tcPr/>
          <w:p>
            <w:pPr>
              <w:pStyle w:val="Compact"/>
            </w:pPr>
            <w:r>
              <w:t xml:space="preserve">The leave-one-domain-out trick is removed. We use a pre-specified</w:t>
            </w:r>
            <w:r>
              <w:t xml:space="preserve"> </w:t>
            </w:r>
            <w:r>
              <w:rPr>
                <w:b/>
                <w:bCs/>
              </w:rPr>
              <w:t xml:space="preserve">external outcome (hospitalisation)</w:t>
            </w:r>
            <w:r>
              <w:t xml:space="preserve"> </w:t>
            </w:r>
            <w:r>
              <w:t xml:space="preserve">and honest nested-model incremental value (ΔAUROC, AIC, LR), explicitly noting where biomarkers do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beat 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Measurement error from proxies (depression, cognition, exposome)</w:t>
            </w:r>
          </w:p>
        </w:tc>
        <w:tc>
          <w:tcPr/>
          <w:p>
            <w:pPr>
              <w:pStyle w:val="Compact"/>
            </w:pPr>
            <w:r>
              <w:t xml:space="preserve">The construct now uses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biomarkers, not proxies. Proxy variables are excluded from the exposure.</w:t>
            </w:r>
          </w:p>
        </w:tc>
      </w:tr>
    </w:tbl>
    <w:bookmarkEnd w:id="11"/>
    <w:bookmarkStart w:id="12" w:name="reviewer-3-most-severe"/>
    <w:p>
      <w:pPr>
        <w:pStyle w:val="Heading2"/>
      </w:pPr>
      <w:r>
        <w:t xml:space="preserve">Reviewer 3 (most severe)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How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BAV defined, measured, validated in same data → external validity</w:t>
            </w:r>
          </w:p>
        </w:tc>
        <w:tc>
          <w:tcPr/>
          <w:p>
            <w:pPr>
              <w:pStyle w:val="Compact"/>
            </w:pPr>
            <w:r>
              <w:t xml:space="preserve">The construct is now standard clinical thresholds (external, pre-defined: ADA HbA1c, JNC/WHO BP, WHO anaemia, CDC/AHA CRP), not data-derived. Validation uses outcomes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to define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PCA explains only 23% → items not one construct</w:t>
            </w:r>
          </w:p>
        </w:tc>
        <w:tc>
          <w:tcPr/>
          <w:p>
            <w:pPr>
              <w:pStyle w:val="Compact"/>
            </w:pPr>
            <w:r>
              <w:t xml:space="preserve">We</w:t>
            </w:r>
            <w:r>
              <w:t xml:space="preserve"> </w:t>
            </w:r>
            <w:r>
              <w:rPr>
                <w:b/>
                <w:bCs/>
              </w:rPr>
              <w:t xml:space="preserve">abandon the single-construct claim</w:t>
            </w:r>
            <w:r>
              <w:t xml:space="preserve">. We explicitly treat ageing biology as multi-system and report markers individually + as a count, not as one latent factor.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Age/smoking/fuel already predict outcomes; complicated index futile</w:t>
            </w:r>
          </w:p>
        </w:tc>
        <w:tc>
          <w:tcPr/>
          <w:p>
            <w:pPr>
              <w:pStyle w:val="Compact"/>
            </w:pPr>
            <w:r>
              <w:t xml:space="preserve">Answered head-on: measured biomarkers reveal</w:t>
            </w:r>
            <w:r>
              <w:t xml:space="preserve"> </w:t>
            </w:r>
            <w:r>
              <w:rPr>
                <w:b/>
                <w:bCs/>
              </w:rPr>
              <w:t xml:space="preserve">undiagnosed</w:t>
            </w:r>
            <w:r>
              <w:t xml:space="preserve"> </w:t>
            </w:r>
            <w:r>
              <w:t xml:space="preserve">disease that age/smoking/fuel and self-report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see — 51% of biochemical diabetes and 60% of measured hypertension are undiagnosed, concentrated in the disadvantaged. This is the precise added value of biological measurement.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Social indicators in index, then</w:t>
            </w:r>
            <w:r>
              <w:t xml:space="preserve"> </w:t>
            </w:r>
            <w:r>
              <w:t xml:space="preserve">“predict”</w:t>
            </w:r>
            <w:r>
              <w:t xml:space="preserve"> </w:t>
            </w:r>
            <w:r>
              <w:t xml:space="preserve">index → circular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Eliminated.</w:t>
            </w:r>
            <w:r>
              <w:t xml:space="preserve"> </w:t>
            </w:r>
            <w:r>
              <w:t xml:space="preserve">Social/household variables are now only predictors of an independently, clinically defined biological outcome. No social variable enters the outcome.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external validation (mortality, hospitalisation)</w:t>
            </w:r>
          </w:p>
        </w:tc>
        <w:tc>
          <w:tcPr/>
          <w:p>
            <w:pPr>
              <w:pStyle w:val="Compact"/>
            </w:pPr>
            <w:r>
              <w:t xml:space="preserve">Validated against</w:t>
            </w:r>
            <w:r>
              <w:t xml:space="preserve"> </w:t>
            </w:r>
            <w:r>
              <w:rPr>
                <w:b/>
                <w:bCs/>
              </w:rPr>
              <w:t xml:space="preserve">hospitalisation</w:t>
            </w:r>
            <w:r>
              <w:t xml:space="preserve"> </w:t>
            </w:r>
            <w:r>
              <w:t xml:space="preserve">(past-year, measured externally to the construct) and other non-component outcomes; honest about absence of prospective mortality (Wave 2 named as next step).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Statistical complexity replacing contextual clarity</w:t>
            </w:r>
          </w:p>
        </w:tc>
        <w:tc>
          <w:tcPr/>
          <w:p>
            <w:pPr>
              <w:pStyle w:val="Compact"/>
            </w:pPr>
            <w:r>
              <w:t xml:space="preserve">The redesign is deliberately</w:t>
            </w:r>
            <w:r>
              <w:t xml:space="preserve"> </w:t>
            </w:r>
            <w:r>
              <w:rPr>
                <w:b/>
                <w:bCs/>
              </w:rPr>
              <w:t xml:space="preserve">simpler and clinically interpretable</w:t>
            </w:r>
            <w:r>
              <w:t xml:space="preserve">: prevalence of undiagnosed conditions, by social group, by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Mechanistic, context-free, dataset-driven</w:t>
            </w:r>
          </w:p>
        </w:tc>
        <w:tc>
          <w:tcPr/>
          <w:p>
            <w:pPr>
              <w:pStyle w:val="Compact"/>
            </w:pPr>
            <w:r>
              <w:t xml:space="preserve">Reframed around an actionable Indian health-system problem (the diagnosis/treatment gap and its inequity) with direct policy implications for NP-NCD/Ayushman Bharat screening.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1b231a3b1df449363cd6c1be3d15eab334c3c25"/>
    <w:p>
      <w:pPr>
        <w:pStyle w:val="Heading2"/>
      </w:pPr>
      <w:r>
        <w:t xml:space="preserve">One-line rebuttal for the cover letter / future correspondence</w:t>
      </w:r>
    </w:p>
    <w:p>
      <w:pPr>
        <w:pStyle w:val="BlockText"/>
      </w:pPr>
      <w:r>
        <w:t xml:space="preserve">The previous construct was circular and unvalidated; the redesigned study removes the composite</w:t>
      </w:r>
      <w:r>
        <w:t xml:space="preserve"> </w:t>
      </w:r>
      <w:r>
        <w:t xml:space="preserve">index, defines biological burden by established external clinical thresholds, demonstrates that</w:t>
      </w:r>
      <w:r>
        <w:t xml:space="preserve"> </w:t>
      </w:r>
      <w:r>
        <w:t xml:space="preserve">measured biomarkers reveal large, socially patterned undiagnosed disease invisible to self-report</w:t>
      </w:r>
      <w:r>
        <w:t xml:space="preserve"> </w:t>
      </w:r>
      <w:r>
        <w:t xml:space="preserve">and simple indicators, and validates this against an outcome (hospitalisation) external to the</w:t>
      </w:r>
      <w:r>
        <w:t xml:space="preserve"> </w:t>
      </w:r>
      <w:r>
        <w:t xml:space="preserve">construct — turning every major criticism into a design feature.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2026-06-12T14:37:30Z</dcterms:created>
  <dcterms:modified xsi:type="dcterms:W3CDTF">2026-06-12T14:37:30Z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