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583d0b82ba6d8624c0307b6c806d8d33aec900"/>
    <w:p>
      <w:pPr>
        <w:pStyle w:val="Heading1"/>
      </w:pPr>
      <w:r>
        <w:t xml:space="preserve">The hidden burden of biological ageing in India: the diagnosis gap, the care cascade, and socioeconomic inequality in cardiometabolic, inflammatory and haematologic risk among adults aged 45 years and older (LASI Wave 1)</w:t>
      </w:r>
    </w:p>
    <w:p>
      <w:pPr>
        <w:pStyle w:val="FirstParagraph"/>
      </w:pPr>
      <w:r>
        <w:rPr>
          <w:b/>
          <w:bCs/>
        </w:rPr>
        <w:t xml:space="preserve">Author:</w:t>
      </w:r>
      <w:r>
        <w:t xml:space="preserve"> </w:t>
      </w:r>
      <w:r>
        <w:t xml:space="preserve">Siddalingaiah H S, Department of Community Medicine, Shridevi Institute of Medical Sciences and Research Hospital, Tumkur, Karnataka, India.</w:t>
      </w:r>
      <w:r>
        <w:t xml:space="preserve"> </w:t>
      </w:r>
      <w:r>
        <w:rPr>
          <w:b/>
          <w:bCs/>
        </w:rPr>
        <w:t xml:space="preserve">Corresponding author:</w:t>
      </w:r>
      <w:r>
        <w:t xml:space="preserve"> </w:t>
      </w:r>
      <w:r>
        <w:t xml:space="preserve">Dr Siddalingaiah H S, hssling@yahoo.com</w:t>
      </w:r>
      <w:r>
        <w:t xml:space="preserve"> </w:t>
      </w:r>
      <w:r>
        <w:rPr>
          <w:b/>
          <w:bCs/>
        </w:rPr>
        <w:t xml:space="preserve">ORCID:</w:t>
      </w:r>
      <w:r>
        <w:t xml:space="preserve"> </w:t>
      </w:r>
      <w:r>
        <w:t xml:space="preserve">0000-0002-4771-8285</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Surveillance of population ageing in India relies heavily on self-reported disease, which is blind to undiagnosed biological risk. The Longitudinal Ageing Study in India (LASI) Wave 1 measured biomarkers, blood pressure and spirometry at national scale, allowing us to quantify the gap between biologically measured and self-reported ageing-related disease, the downstream care cascade, and who is left behind.</w:t>
      </w:r>
    </w:p>
    <w:p>
      <w:pPr>
        <w:pStyle w:val="BodyText"/>
      </w:pPr>
      <w:r>
        <w:rPr>
          <w:b/>
          <w:bCs/>
        </w:rPr>
        <w:t xml:space="preserve">Methods.</w:t>
      </w:r>
      <w:r>
        <w:t xml:space="preserve"> </w:t>
      </w:r>
      <w:r>
        <w:t xml:space="preserve">We analysed 66,470 adults aged 45 years and older from LASI Wave 1 (2017–18), with dried-blood-spot biomarkers (HbA1c, C-reactive protein, haemoglobin), measured blood pressure, spirometry, grip strength and anthropometry. Abnormality was defined by external clinical thresholds. With survey weights and cluster-bootstrap confidence intervals we estimated the prevalence of measured versus self-reported diabetes and hypertension, the proportion undiagnosed, the full care cascade (aware → treated → controlled), and two contrasting biological axes — cardiometabolic excess and deficit/inflammatory burden. Socioeconomic inequality was quantified with Erreygers concentration indices, and the incremental value of measured biomarker burden over chronological age, simple indicators and self-reported disease was tested against past-year hospitalisation.</w:t>
      </w:r>
    </w:p>
    <w:p>
      <w:pPr>
        <w:pStyle w:val="BodyText"/>
      </w:pPr>
      <w:r>
        <w:rPr>
          <w:b/>
          <w:bCs/>
        </w:rPr>
        <w:t xml:space="preserve">Results.</w:t>
      </w:r>
      <w:r>
        <w:t xml:space="preserve"> </w:t>
      </w:r>
      <w:r>
        <w:t xml:space="preserve">Among 66,470 adults, 51.3% (95% CI 49.8–52.7) of biochemical diabetes (HbA1c ≥ 6.5%) and 63.8% (62.8–65.0) of measured hypertension (≥140/90 mmHg) were undiagnosed — an estimated 18 million and 46 million older Indians respectively. Across the full cascade, only 39.6% of all affected diabetics and 35.8% of all affected hypertensives were controlled. Undiagnosed disease and deficit burden (anaemia, low grip strength) were concentrated among the poor (Erreygers index for undiagnosed diabetes −0.090; anaemia −0.038; low grip −0.067), whereas cardiometabolic excess was concentrated among the rich (central obesity +0.132; dysglycaemia +0.036) — a socially split dual burden of ageing. Measured biomarker burden added little to self-reported disease for predicting hospitalisation overall (AUROC 0.614→0.615), but among the 47% reporting no diagnosed condition, 15.5% had high biological burden and each additional abnormal system independently raised hospitalisation odds (OR 1.10, 1.03–1.18).</w:t>
      </w:r>
    </w:p>
    <w:p>
      <w:pPr>
        <w:pStyle w:val="BodyText"/>
      </w:pPr>
      <w:r>
        <w:rPr>
          <w:b/>
          <w:bCs/>
        </w:rPr>
        <w:t xml:space="preserve">Conclusions.</w:t>
      </w:r>
      <w:r>
        <w:t xml:space="preserve"> </w:t>
      </w:r>
      <w:r>
        <w:t xml:space="preserve">Measured biomarkers reveal a large, socially patterned burden of undiagnosed and uncontrolled disease in older Indians. Extending the care cascade to diabetes and to multi-system biological ageing shows the largest leak is control, not just diagnosis, and that the poor are lost earliest in the cascade. Opportunistic biological screening targeted to disadvantaged older adults is an achievable equity goal; prospective validation in LASI Wave 2 is the priority next step.</w:t>
      </w:r>
    </w:p>
    <w:p>
      <w:pPr>
        <w:pStyle w:val="BodyText"/>
      </w:pPr>
      <w:r>
        <w:rPr>
          <w:b/>
          <w:bCs/>
        </w:rPr>
        <w:t xml:space="preserve">Keywords:</w:t>
      </w:r>
      <w:r>
        <w:t xml:space="preserve"> </w:t>
      </w:r>
      <w:r>
        <w:t xml:space="preserve">Ageing; Biomarkers; Care cascade; Concentration index; Diagnosis gap; Health equity; India; LASI.</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India is ageing rapidly and unequally. The number of adults aged 60 years and older is projected to exceed 300 million by 2050, against a backdrop of persistent poverty, uneven health-system access and an accelerating epidemiological transition in which chronic non-communicable disease coexists with under-nutrition and infection-related deficits [1]. How this transition is</w:t>
      </w:r>
      <w:r>
        <w:t xml:space="preserve"> </w:t>
      </w:r>
      <w:r>
        <w:rPr>
          <w:i/>
          <w:iCs/>
        </w:rPr>
        <w:t xml:space="preserve">measured</w:t>
      </w:r>
      <w:r>
        <w:t xml:space="preserve"> </w:t>
      </w:r>
      <w:r>
        <w:t xml:space="preserve">matters for how it is governed.</w:t>
      </w:r>
    </w:p>
    <w:p>
      <w:pPr>
        <w:pStyle w:val="BodyText"/>
      </w:pPr>
      <w:r>
        <w:t xml:space="preserve">Most population-level surveillance of ageing in India — and the indices built upon it — rests on self-reported physician-diagnosed disease and self-reported function. Self-report is invaluable, but it has a structural blind spot: it can only count disease that has been</w:t>
      </w:r>
      <w:r>
        <w:t xml:space="preserve"> </w:t>
      </w:r>
      <w:r>
        <w:rPr>
          <w:i/>
          <w:iCs/>
        </w:rPr>
        <w:t xml:space="preserve">diagnosed</w:t>
      </w:r>
      <w:r>
        <w:t xml:space="preserve">. In a health system where access to diagnosis is itself socially patterned, self-report will systematically under-count disease precisely in the groups least able to reach care, distorting both prevalence estimates and the apparent geography of risk [2, 3]. Biological measurement — a glycated-haemoglobin value, a blood-pressure reading, a haemoglobin concentration — does not share this blind spot, and population biomarker data have become central to the biodemography of ageing [4].</w:t>
      </w:r>
    </w:p>
    <w:p>
      <w:pPr>
        <w:pStyle w:val="BodyText"/>
      </w:pPr>
      <w:r>
        <w:t xml:space="preserve">LASI Wave 1 is, for this purpose, an unusually rich resource: a nationally representative survey of older adults that paired interviews with dried-blood-spot assays, measured blood pressure, spirometry, grip strength and anthropometry [5, 6]. This makes it possible to ask, at national scale, three linked questions:</w:t>
      </w:r>
      <w:r>
        <w:t xml:space="preserve"> </w:t>
      </w:r>
      <w:r>
        <w:rPr>
          <w:i/>
          <w:iCs/>
        </w:rPr>
        <w:t xml:space="preserve">how much ageing-related biological disease is present but undiagnosed; how far along the care cascade — awareness, treatment, control — do affected people get; and who is left behind?</w:t>
      </w:r>
    </w:p>
    <w:p>
      <w:pPr>
        <w:pStyle w:val="BodyText"/>
      </w:pPr>
      <w:r>
        <w:t xml:space="preserve">A prior generation of analyses, including our own, attempted to compress these measurements into a single composite</w:t>
      </w:r>
      <w:r>
        <w:t xml:space="preserve"> </w:t>
      </w:r>
      <w:r>
        <w:t xml:space="preserve">“biological ageing vulnerability”</w:t>
      </w:r>
      <w:r>
        <w:t xml:space="preserve"> </w:t>
      </w:r>
      <w:r>
        <w:t xml:space="preserve">score. That approach has well-recognised problems: composites that mix biological, functional and social information are conceptually ambiguous, are prone to circularity when social variables are used both to build and to predict the score, and can obscure rather than reveal the structure of risk. We deliberately do not take that route here. Instead we keep the biology, the social determinants and the health outcomes conceptually separate, define abnormality by external clinical thresholds rather than data-derived weights, and let the social patterning emerge rather than be assumed.</w:t>
      </w:r>
    </w:p>
    <w:p>
      <w:pPr>
        <w:pStyle w:val="BodyText"/>
      </w:pPr>
      <w:r>
        <w:t xml:space="preserve">The hypertension care cascade in older Indians has been described using LASI [7], and national diabetes and hypertension awareness gaps are documented in younger and all-age samples [2, 3]. We build on that work in three ways. First, we extend the cascade from hypertension to</w:t>
      </w:r>
      <w:r>
        <w:t xml:space="preserve"> </w:t>
      </w:r>
      <w:r>
        <w:rPr>
          <w:i/>
          <w:iCs/>
        </w:rPr>
        <w:t xml:space="preserve">diabetes</w:t>
      </w:r>
      <w:r>
        <w:t xml:space="preserve"> </w:t>
      </w:r>
      <w:r>
        <w:t xml:space="preserve">and to a</w:t>
      </w:r>
      <w:r>
        <w:t xml:space="preserve"> </w:t>
      </w:r>
      <w:r>
        <w:rPr>
          <w:i/>
          <w:iCs/>
        </w:rPr>
        <w:t xml:space="preserve">multi-system</w:t>
      </w:r>
      <w:r>
        <w:t xml:space="preserve"> </w:t>
      </w:r>
      <w:r>
        <w:t xml:space="preserve">picture of biological ageing (adding anaemia, inflammation, pulmonary reserve, muscle strength and adiposity). Second, we quantify socioeconomic inequality formally with concentration indices rather than describing it qualitatively. Third, we test honestly whether measured biomarker burden adds</w:t>
      </w:r>
      <w:r>
        <w:t xml:space="preserve"> </w:t>
      </w:r>
      <w:r>
        <w:rPr>
          <w:i/>
          <w:iCs/>
        </w:rPr>
        <w:t xml:space="preserve">predictive value</w:t>
      </w:r>
      <w:r>
        <w:t xml:space="preserve"> </w:t>
      </w:r>
      <w:r>
        <w:t xml:space="preserve">beyond chronological age, simple indicators and self-reported disease for a hard outcome — past-year hospitalisation — and report where it does not.</w:t>
      </w:r>
    </w:p>
    <w:bookmarkEnd w:id="10"/>
    <w:bookmarkStart w:id="18" w:name="materials-and-methods"/>
    <w:p>
      <w:pPr>
        <w:pStyle w:val="Heading2"/>
      </w:pPr>
      <w:r>
        <w:t xml:space="preserve">2. Materials and methods</w:t>
      </w:r>
    </w:p>
    <w:bookmarkStart w:id="11" w:name="design-and-data-source"/>
    <w:p>
      <w:pPr>
        <w:pStyle w:val="Heading3"/>
      </w:pPr>
      <w:r>
        <w:t xml:space="preserve">2.1 Design and data source</w:t>
      </w:r>
    </w:p>
    <w:p>
      <w:pPr>
        <w:pStyle w:val="FirstParagraph"/>
      </w:pPr>
      <w:r>
        <w:t xml:space="preserve">This was a cross-sectional secondary analysis of LASI Wave 1 (fieldwork 2017–18), a nationally representative study of adults aged 45 years and older and their spouses, conducted by the International Institute for Population Sciences (IIPS) with national and international partners [5, 6]. We linked the Gateway to Global Aging harmonized LASI file (interview, measured blood pressure, pulse, grip strength, anthropometry) [8] to the IIPS venous dried-blood-spot (DBS) and lung-function (spirometry) datasets using the respondent primary key. Reporting follows the STROBE statement [9]. Restricted microdata were used under provider access conditions and are not redistributed.</w:t>
      </w:r>
    </w:p>
    <w:bookmarkEnd w:id="11"/>
    <w:bookmarkStart w:id="12" w:name="study-population"/>
    <w:p>
      <w:pPr>
        <w:pStyle w:val="Heading3"/>
      </w:pPr>
      <w:r>
        <w:t xml:space="preserve">2.2 Study population</w:t>
      </w:r>
    </w:p>
    <w:p>
      <w:pPr>
        <w:pStyle w:val="FirstParagraph"/>
      </w:pPr>
      <w:r>
        <w:t xml:space="preserve">Adults aged 45 years and older were eligible (n = 66,470 after linkage). Module availability was 58,294 for DBS biomarkers and 50,244 for spirometry. Because biomarker availability is itself non-random, we compared adults with versus without a near-complete biomarker panel on age, education, frailty, multimorbidity, self-rated health and household exposures (Supplementary Table S1), and report inverse-probability-of-availability weighting as a sensitivity analysis (Supplementary Table S2).</w:t>
      </w:r>
    </w:p>
    <w:bookmarkEnd w:id="12"/>
    <w:bookmarkStart w:id="13" w:name="X45a094d73da4f1f2a2a4b9ea97c62fefc30eb61"/>
    <w:p>
      <w:pPr>
        <w:pStyle w:val="Heading3"/>
      </w:pPr>
      <w:r>
        <w:t xml:space="preserve">2.3 Biological measures and abnormality thresholds</w:t>
      </w:r>
    </w:p>
    <w:p>
      <w:pPr>
        <w:pStyle w:val="FirstParagraph"/>
      </w:pPr>
      <w:r>
        <w:t xml:space="preserve">All abnormalities were defined by established external clinical thresholds, fixed a priori, not derived from these data:</w:t>
      </w:r>
      <w:r>
        <w:t xml:space="preserve"> </w:t>
      </w:r>
      <w:r>
        <w:t xml:space="preserve">-</w:t>
      </w:r>
      <w:r>
        <w:t xml:space="preserve"> </w:t>
      </w:r>
      <w:r>
        <w:rPr>
          <w:b/>
          <w:bCs/>
        </w:rPr>
        <w:t xml:space="preserve">Dysglycaemia:</w:t>
      </w:r>
      <w:r>
        <w:t xml:space="preserve"> </w:t>
      </w:r>
      <w:r>
        <w:t xml:space="preserve">HbA1c ≥ 6.5% (American Diabetes Association) [10].</w:t>
      </w:r>
      <w:r>
        <w:t xml:space="preserve"> </w:t>
      </w:r>
      <w:r>
        <w:t xml:space="preserve">-</w:t>
      </w:r>
      <w:r>
        <w:t xml:space="preserve"> </w:t>
      </w:r>
      <w:r>
        <w:rPr>
          <w:b/>
          <w:bCs/>
        </w:rPr>
        <w:t xml:space="preserve">Hypertension (measured):</w:t>
      </w:r>
      <w:r>
        <w:t xml:space="preserve"> </w:t>
      </w:r>
      <w:r>
        <w:t xml:space="preserve">mean systolic blood pressure ≥ 140 mmHg or diastolic ≥ 90 mmHg (International Society of Hypertension) [11].</w:t>
      </w:r>
      <w:r>
        <w:t xml:space="preserve"> </w:t>
      </w:r>
      <w:r>
        <w:t xml:space="preserve">-</w:t>
      </w:r>
      <w:r>
        <w:t xml:space="preserve"> </w:t>
      </w:r>
      <w:r>
        <w:rPr>
          <w:b/>
          <w:bCs/>
        </w:rPr>
        <w:t xml:space="preserve">Anaemia:</w:t>
      </w:r>
      <w:r>
        <w:t xml:space="preserve"> </w:t>
      </w:r>
      <w:r>
        <w:t xml:space="preserve">haemoglobin below WHO sex-specific thresholds [12].</w:t>
      </w:r>
      <w:r>
        <w:t xml:space="preserve"> </w:t>
      </w:r>
      <w:r>
        <w:t xml:space="preserve">-</w:t>
      </w:r>
      <w:r>
        <w:t xml:space="preserve"> </w:t>
      </w:r>
      <w:r>
        <w:rPr>
          <w:b/>
          <w:bCs/>
        </w:rPr>
        <w:t xml:space="preserve">Inflammation:</w:t>
      </w:r>
      <w:r>
        <w:t xml:space="preserve"> </w:t>
      </w:r>
      <w:r>
        <w:t xml:space="preserve">C-reactive protein &gt; 3 mg/L (CDC/AHA) [13].</w:t>
      </w:r>
      <w:r>
        <w:t xml:space="preserve"> </w:t>
      </w:r>
      <w:r>
        <w:t xml:space="preserve">-</w:t>
      </w:r>
      <w:r>
        <w:t xml:space="preserve"> </w:t>
      </w:r>
      <w:r>
        <w:rPr>
          <w:b/>
          <w:bCs/>
        </w:rPr>
        <w:t xml:space="preserve">Low pulmonary reserve:</w:t>
      </w:r>
      <w:r>
        <w:t xml:space="preserve"> </w:t>
      </w:r>
      <w:r>
        <w:t xml:space="preserve">quality-controlled forced vital capacity z-score below the lower limit of normal, GLI-2012 reference [14].</w:t>
      </w:r>
      <w:r>
        <w:t xml:space="preserve"> </w:t>
      </w:r>
      <w:r>
        <w:t xml:space="preserve">-</w:t>
      </w:r>
      <w:r>
        <w:t xml:space="preserve"> </w:t>
      </w:r>
      <w:r>
        <w:rPr>
          <w:b/>
          <w:bCs/>
        </w:rPr>
        <w:t xml:space="preserve">Low muscle strength:</w:t>
      </w:r>
      <w:r>
        <w:t xml:space="preserve"> </w:t>
      </w:r>
      <w:r>
        <w:t xml:space="preserve">sex-specific lowest quintile of grip strength.</w:t>
      </w:r>
      <w:r>
        <w:t xml:space="preserve"> </w:t>
      </w:r>
      <w:r>
        <w:t xml:space="preserve">-</w:t>
      </w:r>
      <w:r>
        <w:t xml:space="preserve"> </w:t>
      </w:r>
      <w:r>
        <w:rPr>
          <w:b/>
          <w:bCs/>
        </w:rPr>
        <w:t xml:space="preserve">Central obesity:</w:t>
      </w:r>
      <w:r>
        <w:t xml:space="preserve"> </w:t>
      </w:r>
      <w:r>
        <w:t xml:space="preserve">waist circumference ≥ 90 cm (men) / ≥ 80 cm (women), harmonised (IDF) Asian thresholds [15].</w:t>
      </w:r>
    </w:p>
    <w:p>
      <w:pPr>
        <w:pStyle w:val="BodyText"/>
      </w:pPr>
      <w:r>
        <w:t xml:space="preserve">We summarised these in two clinically coherent axes rather than a single composite: a</w:t>
      </w:r>
      <w:r>
        <w:t xml:space="preserve"> </w:t>
      </w:r>
      <w:r>
        <w:rPr>
          <w:b/>
          <w:bCs/>
        </w:rPr>
        <w:t xml:space="preserve">cardiometabolic excess</w:t>
      </w:r>
      <w:r>
        <w:t xml:space="preserve"> </w:t>
      </w:r>
      <w:r>
        <w:t xml:space="preserve">axis (dysglycaemia, hypertension, central obesity) and a</w:t>
      </w:r>
      <w:r>
        <w:t xml:space="preserve"> </w:t>
      </w:r>
      <w:r>
        <w:rPr>
          <w:b/>
          <w:bCs/>
        </w:rPr>
        <w:t xml:space="preserve">deficit/inflammatory</w:t>
      </w:r>
      <w:r>
        <w:t xml:space="preserve"> </w:t>
      </w:r>
      <w:r>
        <w:t xml:space="preserve">axis (anaemia, low grip strength, low pulmonary reserve, elevated CRP). The contrast between these axes is itself a study object. As supplementary biomarker-of-ageing measures we also computed multi-system physiological dysregulation (log Mahalanobis distance from a healthy young-old reference) [16] and an allostatic-load count [17]; a chronological-age-calibrated biological-age clock (Klemera–Doubal) [18, 19] is reported in the Supplement (Supplementary Note S10) with its limitations.</w:t>
      </w:r>
    </w:p>
    <w:bookmarkEnd w:id="13"/>
    <w:bookmarkStart w:id="14" w:name="the-diagnosis-gap-and-the-care-cascade"/>
    <w:p>
      <w:pPr>
        <w:pStyle w:val="Heading3"/>
      </w:pPr>
      <w:r>
        <w:t xml:space="preserve">2.4 The diagnosis gap and the care cascade</w:t>
      </w:r>
    </w:p>
    <w:p>
      <w:pPr>
        <w:pStyle w:val="FirstParagraph"/>
      </w:pPr>
      <w:r>
        <w:t xml:space="preserve">For diabetes and hypertension, where biological measurement, self-reported physician diagnosis and self-reported medication were available, we defined the</w:t>
      </w:r>
      <w:r>
        <w:t xml:space="preserve"> </w:t>
      </w:r>
      <w:r>
        <w:rPr>
          <w:i/>
          <w:iCs/>
        </w:rPr>
        <w:t xml:space="preserve">undiagnosed</w:t>
      </w:r>
      <w:r>
        <w:t xml:space="preserve"> </w:t>
      </w:r>
      <w:r>
        <w:t xml:space="preserve">fraction as the proportion of biologically affected respondents (HbA1c ≥ 6.5%, or measured blood pressure in the hypertensive range) who did not report a corresponding diagnosis. Following the cascade framework applied to LASI hypertension [7], we then defined, among</w:t>
      </w:r>
      <w:r>
        <w:t xml:space="preserve"> </w:t>
      </w:r>
      <w:r>
        <w:rPr>
          <w:b/>
          <w:bCs/>
        </w:rPr>
        <w:t xml:space="preserve">all affected</w:t>
      </w:r>
      <w:r>
        <w:t xml:space="preserve"> </w:t>
      </w:r>
      <w:r>
        <w:t xml:space="preserve">(biologically affected OR on disease-specific medication OR self-reported diagnosed):</w:t>
      </w:r>
      <w:r>
        <w:t xml:space="preserve"> </w:t>
      </w:r>
      <w:r>
        <w:rPr>
          <w:i/>
          <w:iCs/>
        </w:rPr>
        <w:t xml:space="preserve">aware</w:t>
      </w:r>
      <w:r>
        <w:t xml:space="preserve"> </w:t>
      </w:r>
      <w:r>
        <w:t xml:space="preserve">= self-reported diagnosis;</w:t>
      </w:r>
      <w:r>
        <w:t xml:space="preserve"> </w:t>
      </w:r>
      <w:r>
        <w:rPr>
          <w:i/>
          <w:iCs/>
        </w:rPr>
        <w:t xml:space="preserve">treated</w:t>
      </w:r>
      <w:r>
        <w:t xml:space="preserve"> </w:t>
      </w:r>
      <w:r>
        <w:t xml:space="preserve">= on disease-specific medication;</w:t>
      </w:r>
      <w:r>
        <w:t xml:space="preserve"> </w:t>
      </w:r>
      <w:r>
        <w:rPr>
          <w:i/>
          <w:iCs/>
        </w:rPr>
        <w:t xml:space="preserve">controlled</w:t>
      </w:r>
      <w:r>
        <w:t xml:space="preserve"> </w:t>
      </w:r>
      <w:r>
        <w:t xml:space="preserve">= HbA1c &lt; 7.0% for diabetes, or blood pressure &lt; 140/90 mmHg for hypertension.</w:t>
      </w:r>
    </w:p>
    <w:bookmarkEnd w:id="14"/>
    <w:bookmarkStart w:id="15" w:name="social-and-household-exposures"/>
    <w:p>
      <w:pPr>
        <w:pStyle w:val="Heading3"/>
      </w:pPr>
      <w:r>
        <w:t xml:space="preserve">2.5 Social and household exposures</w:t>
      </w:r>
    </w:p>
    <w:p>
      <w:pPr>
        <w:pStyle w:val="FirstParagraph"/>
      </w:pPr>
      <w:r>
        <w:t xml:space="preserve">Predictors, kept strictly separate from the biological outcomes, comprised age, sex, urban/rural residence, completed years of education, a household wealth tertile, household poverty, current smoking and smokeless-tobacco use, and household exposome [20] proxies (unclean cooking fuel, unimproved sanitation, unimproved drinking water).</w:t>
      </w:r>
    </w:p>
    <w:bookmarkEnd w:id="15"/>
    <w:bookmarkStart w:id="16" w:name="health-outcome"/>
    <w:p>
      <w:pPr>
        <w:pStyle w:val="Heading3"/>
      </w:pPr>
      <w:r>
        <w:t xml:space="preserve">2.6 Health outcome</w:t>
      </w:r>
    </w:p>
    <w:p>
      <w:pPr>
        <w:pStyle w:val="FirstParagraph"/>
      </w:pPr>
      <w:r>
        <w:t xml:space="preserve">The pre-specified external outcome for incremental-value testing was any hospital admission in the previous 12 months — a hard, utilisation-based outcome that is not a component of any biological measure.</w:t>
      </w:r>
    </w:p>
    <w:bookmarkEnd w:id="16"/>
    <w:bookmarkStart w:id="17" w:name="statistical-analysis"/>
    <w:p>
      <w:pPr>
        <w:pStyle w:val="Heading3"/>
      </w:pPr>
      <w:r>
        <w:t xml:space="preserve">2.7 Statistical analysis</w:t>
      </w:r>
    </w:p>
    <w:p>
      <w:pPr>
        <w:pStyle w:val="FirstParagraph"/>
      </w:pPr>
      <w:r>
        <w:t xml:space="preserve">Estimates used LASI person and biomarker module weights. Variance accounted for the survey design through clustering on the secondary sampling unit (SSU): headline prevalences, the cascade, and concentration indices carry 95% confidence intervals from a cluster bootstrap (resampling SSUs), and key regression associations were corroborated by SSU cluster-bootstrap confidence intervals (Supplementary Table S3). Social patterning was described by design-weighted prevalence across residence, education, wealth and sex strata, and modelled with weighted logistic (per abnormality) and Poisson (count) regression. Socioeconomic inequality, ranked by household wealth, was summarised with the wealth-ranked concentration index, Erreygers-corrected for bounded outcomes [21, 22]. Incremental predictive value for hospitalisation was assessed with nested weighted logistic models — (1) age and sex; (2) plus simple social and behavioural indicators; (3) plus self-reported disease count; (4) plus measured biomarker burden — compared on the area under the receiver-operating-characteristic curve (AUROC, with bootstrap confidence intervals) and the Akaike information criterion (AIC), and additionally within the subgroup reporting no diagnosed condition. Absolute national counts were obtained by applying the LASI population-expansion (biomarker) weights, which sum to the represented DBS-eligible population aged 45 and older. Robustness was examined under alternative clinical thresholds and across age groups (45–59, 60–74, 75+). Analyses used Python 3 (pandas, statsmodels, scikit-learn, geopandas); code is available (see Data availability). Results are associational; no causal interpretation is intended.</w:t>
      </w:r>
    </w:p>
    <w:p>
      <w:r>
        <w:pict>
          <v:rect style="width:0;height:1.5pt" o:hralign="center" o:hrstd="t" o:hr="t"/>
        </w:pict>
      </w:r>
    </w:p>
    <w:bookmarkEnd w:id="17"/>
    <w:bookmarkEnd w:id="18"/>
    <w:bookmarkStart w:id="26" w:name="results"/>
    <w:p>
      <w:pPr>
        <w:pStyle w:val="Heading2"/>
      </w:pPr>
      <w:r>
        <w:t xml:space="preserve">3. Results</w:t>
      </w:r>
    </w:p>
    <w:bookmarkStart w:id="19" w:name="sample"/>
    <w:p>
      <w:pPr>
        <w:pStyle w:val="Heading3"/>
      </w:pPr>
      <w:r>
        <w:t xml:space="preserve">3.1 Sample</w:t>
      </w:r>
    </w:p>
    <w:p>
      <w:pPr>
        <w:pStyle w:val="FirstParagraph"/>
      </w:pPr>
      <w:r>
        <w:t xml:space="preserve">The linked analytic sample comprised 66,470 adults aged 45 years and older; 58,294 had dried-blood-spot biomarkers and 50,244 had spirometry. Adults with a near-complete biomarker panel were marginally younger and less disabled than those without (e.g., ADL limitation 13.8% vs 21.0%; age 59.5 vs 61.1 yr; Supplementary Table S1); inverse-probability-of-availability weighting did not materially change the estimates (maximum difference 0.3 percentage points; Supplementary Table S2).</w:t>
      </w:r>
    </w:p>
    <w:bookmarkEnd w:id="19"/>
    <w:bookmarkStart w:id="20" w:name="the-diagnosis-gap-figure-1-table-1"/>
    <w:p>
      <w:pPr>
        <w:pStyle w:val="Heading3"/>
      </w:pPr>
      <w:r>
        <w:t xml:space="preserve">3.2 The diagnosis gap (Figure 1, Table 1)</w:t>
      </w:r>
    </w:p>
    <w:p>
      <w:pPr>
        <w:pStyle w:val="FirstParagraph"/>
      </w:pPr>
      <w:r>
        <w:t xml:space="preserve">Biological measurement revealed substantially more disease than self-report. Weighted prevalence of biochemical diabetes (HbA1c ≥ 6.5%) was 15.3% (95% CI 14.7–15.9) against 12.0% (11.5–12.4) self-reported, and measured hypertension (≥140/90 mmHg) was 31.3% (30.6–31.9) against 26.1% (25.5–26.7) self-reported. Among those biologically affected,</w:t>
      </w:r>
      <w:r>
        <w:t xml:space="preserve"> </w:t>
      </w:r>
      <w:r>
        <w:rPr>
          <w:b/>
          <w:bCs/>
        </w:rPr>
        <w:t xml:space="preserve">51.3% (49.8–52.7) of diabetes and 63.8% (62.8–65.0) of hypertension were undiagnosed</w:t>
      </w:r>
      <w:r>
        <w:t xml:space="preserve">. Applying LASI population-expansion weights, this corresponds to an estimated</w:t>
      </w:r>
      <w:r>
        <w:t xml:space="preserve"> </w:t>
      </w:r>
      <w:r>
        <w:rPr>
          <w:b/>
          <w:bCs/>
        </w:rPr>
        <w:t xml:space="preserve">18 million older Indians with undiagnosed diabetes and 46 million with undiagnosed hypertension</w:t>
      </w:r>
      <w:r>
        <w:t xml:space="preserve"> </w:t>
      </w:r>
      <w:r>
        <w:t xml:space="preserve">(Supplementary Table S11). Anaemia affected 29.9% (29.2–30.7), elevated CRP 9.6% (9.2–9.9) and central obesity 47.3% (46.2–48.3). Nearly one in four older adults (23.2%, 22.6–23.9) had high multi-system burden (≥3 of seven abnormal systems). Findings were robust to alternative clinical thresholds (under the stricter ACC/AHA ≥130/80 mmHg threshold the undiagnosed hypertension fraction rose to 70%) and the diagnosis gap persisted across age groups, being widest at ages 45–59 (Supplementary Tables S12–S13).</w:t>
      </w:r>
    </w:p>
    <w:bookmarkEnd w:id="20"/>
    <w:bookmarkStart w:id="21" w:name="Xacef358d3c4f2e0e77e1f5d13e99dd6cfdc139c"/>
    <w:p>
      <w:pPr>
        <w:pStyle w:val="Heading3"/>
      </w:pPr>
      <w:r>
        <w:t xml:space="preserve">3.3 The care cascade: the control gap (Figure 2, Table 2)</w:t>
      </w:r>
    </w:p>
    <w:p>
      <w:pPr>
        <w:pStyle w:val="FirstParagraph"/>
      </w:pPr>
      <w:r>
        <w:t xml:space="preserve">Extending the analysis to the full cascade showed that diagnosis is only the first leak. Among</w:t>
      </w:r>
      <w:r>
        <w:t xml:space="preserve"> </w:t>
      </w:r>
      <w:r>
        <w:rPr>
          <w:b/>
          <w:bCs/>
        </w:rPr>
        <w:t xml:space="preserve">all affected</w:t>
      </w:r>
      <w:r>
        <w:t xml:space="preserve"> </w:t>
      </w:r>
      <w:r>
        <w:t xml:space="preserve">diabetics, 63.4% (60.1–68.3) were aware, 52.0% (49.0–56.1) were treated, and only</w:t>
      </w:r>
      <w:r>
        <w:t xml:space="preserve"> </w:t>
      </w:r>
      <w:r>
        <w:rPr>
          <w:b/>
          <w:bCs/>
        </w:rPr>
        <w:t xml:space="preserve">39.6% (34.8–42.9) were controlled</w:t>
      </w:r>
      <w:r>
        <w:t xml:space="preserve"> </w:t>
      </w:r>
      <w:r>
        <w:t xml:space="preserve">(HbA1c &lt; 7.0%). For hypertension, 59.0% (55.9–63.9) were aware, 42.0% (39.4–45.9) treated, and</w:t>
      </w:r>
      <w:r>
        <w:t xml:space="preserve"> </w:t>
      </w:r>
      <w:r>
        <w:rPr>
          <w:b/>
          <w:bCs/>
        </w:rPr>
        <w:t xml:space="preserve">35.8% (31.3–42.7) controlled</w:t>
      </w:r>
      <w:r>
        <w:t xml:space="preserve">. Thus roughly three in five affected older Indians with diabetes or hypertension are not at target — a control gap larger than the diagnosis gap alone. These cascade levels are consistent with, and extend to diabetes, the hypertension cascade previously described in LASI [7].</w:t>
      </w:r>
    </w:p>
    <w:bookmarkEnd w:id="21"/>
    <w:bookmarkStart w:id="22" w:name="Xaf72d3cf932276b090ac0fe24363555d1c54e85"/>
    <w:p>
      <w:pPr>
        <w:pStyle w:val="Heading3"/>
      </w:pPr>
      <w:r>
        <w:t xml:space="preserve">3.4 Socioeconomic inequality (Figures 3–4, Table 3; Supplementary Tables S4–S5)</w:t>
      </w:r>
    </w:p>
    <w:p>
      <w:pPr>
        <w:pStyle w:val="FirstParagraph"/>
      </w:pPr>
      <w:r>
        <w:t xml:space="preserve">Inequality ran in opposite directions for different parts of the picture. The poor were lost earliest in the cascade: undiagnosed diabetes was 57.8% in rural versus 44.0% in urban adults, 59.6% versus 44.3% by education, and treatment coverage was markedly lower in rural (diabetes treated 44.3% vs 60.1%; Supplementary Table S5). Erreygers concentration indices confirmed that undiagnosed disease and deficit burden were concentrated among the poor — undiagnosed diabetes −0.090 (95% CI −0.122, −0.062), undiagnosed hypertension −0.028 (−0.048, −0.007), anaemia −0.038 (−0.049, −0.025), low grip strength −0.067 (−0.078, −0.056) — whereas cardiometabolic excess was concentrated among the rich: central obesity +0.132 (0.118, 0.147), dysglycaemia +0.036 (0.027, 0.046). Every index excluded the null. Uncontrolled diabetes, conditional on being affected, was modestly pro-rich (+0.027), reflecting more severe metabolic disease among the affected advantaged.</w:t>
      </w:r>
    </w:p>
    <w:bookmarkEnd w:id="22"/>
    <w:bookmarkStart w:id="23" w:name="Xfb1070e225ee31092858b24fb46d223d58b10d6"/>
    <w:p>
      <w:pPr>
        <w:pStyle w:val="Heading3"/>
      </w:pPr>
      <w:r>
        <w:t xml:space="preserve">3.5 A dual burden of biological ageing (Supplementary Tables S6–S7)</w:t>
      </w:r>
    </w:p>
    <w:p>
      <w:pPr>
        <w:pStyle w:val="FirstParagraph"/>
      </w:pPr>
      <w:r>
        <w:t xml:space="preserve">The underlying biology was not uniformly</w:t>
      </w:r>
      <w:r>
        <w:t xml:space="preserve"> </w:t>
      </w:r>
      <w:r>
        <w:t xml:space="preserve">“worse”</w:t>
      </w:r>
      <w:r>
        <w:t xml:space="preserve"> </w:t>
      </w:r>
      <w:r>
        <w:t xml:space="preserve">among the poor; it differed in kind. Cardiometabolic excess rose steeply with advantage (dysglycaemia 11.7%→23.2%, central obesity 39.5%→64.5% from rural to urban; urban-residence adjusted OR for central obesity 1.57, 1.44–1.70), while deficit and inflammatory burden rose with disadvantage (anaemia poverty OR 1.15, 1.07–1.23; low grip poverty OR 1.16, 1.07–1.26; inflammation current-smoking OR 1.17, 1.05–1.32). Current smoking and unclean cooking fuel were, as expected, inversely associated with the adiposity-driven metabolic abnormalities (markers of poverty), underlining why a single averaged</w:t>
      </w:r>
      <w:r>
        <w:t xml:space="preserve"> </w:t>
      </w:r>
      <w:r>
        <w:t xml:space="preserve">“burden”</w:t>
      </w:r>
      <w:r>
        <w:t xml:space="preserve"> </w:t>
      </w:r>
      <w:r>
        <w:t xml:space="preserve">index is misleading. Pulmonary-reserve associations were the least consistent and should be read against the spirometry quality caveats (Section 4).</w:t>
      </w:r>
    </w:p>
    <w:bookmarkEnd w:id="23"/>
    <w:bookmarkStart w:id="24" w:name="X63bf599404ab74ff98d0dc3deae697c8cc98258"/>
    <w:p>
      <w:pPr>
        <w:pStyle w:val="Heading3"/>
      </w:pPr>
      <w:r>
        <w:t xml:space="preserve">3.6 Hidden burden and incremental predictive value (Figure 5, Table 4)</w:t>
      </w:r>
    </w:p>
    <w:p>
      <w:pPr>
        <w:pStyle w:val="FirstParagraph"/>
      </w:pPr>
      <w:r>
        <w:t xml:space="preserve">For predicting past-year hospitalisation, AUROC rose from 0.548 (age and sex) to 0.568 with simple indicators and to 0.614 with self-reported disease; adding measured biomarker burden gave only 0.615 (ΔAUROC 0.001, cluster-bootstrap 95% CI 0.000–0.003; AIC 25,351→25,343) — a statistically detectable but clinically negligible gain. Measured biomarker burden therefore added little to self-report</w:t>
      </w:r>
      <w:r>
        <w:t xml:space="preserve"> </w:t>
      </w:r>
      <w:r>
        <w:rPr>
          <w:i/>
          <w:iCs/>
        </w:rPr>
        <w:t xml:space="preserve">overall</w:t>
      </w:r>
      <w:r>
        <w:t xml:space="preserve">. Its value was specific to where self-report is silent: among the 47% reporting</w:t>
      </w:r>
      <w:r>
        <w:t xml:space="preserve"> </w:t>
      </w:r>
      <w:r>
        <w:rPr>
          <w:b/>
          <w:bCs/>
        </w:rPr>
        <w:t xml:space="preserve">no</w:t>
      </w:r>
      <w:r>
        <w:t xml:space="preserve"> </w:t>
      </w:r>
      <w:r>
        <w:t xml:space="preserve">diagnosed condition, 15.5% (14.9–16.1) nonetheless had high biological burden, and each additional abnormal system independently raised hospitalisation odds (OR 1.10, 1.03–1.18; p = 0.007) after adjustment for age and sex. Biological measurement adds most precisely where clinical history is blank.</w:t>
      </w:r>
    </w:p>
    <w:bookmarkEnd w:id="24"/>
    <w:bookmarkStart w:id="25" w:name="Xee6a6d1b67b3f47881add631292ffeb9535912e"/>
    <w:p>
      <w:pPr>
        <w:pStyle w:val="Heading3"/>
      </w:pPr>
      <w:r>
        <w:t xml:space="preserve">3.7 Geographic surveillance (Figure 6, Supplementary Table S8)</w:t>
      </w:r>
    </w:p>
    <w:p>
      <w:pPr>
        <w:pStyle w:val="FirstParagraph"/>
      </w:pPr>
      <w:r>
        <w:t xml:space="preserve">The diagnosis gap and the biological burden had different maps. High multi-system burden clustered in the more urbanised, affluent states (Andhra Pradesh 45.7%, Chandigarh 39.7%, Punjab 35.3%, Telangana 34.3%, Maharashtra 33.8%), reflecting cardiometabolic excess. The undiagnosed fraction was highest in poorer and more remote states (Arunachal Pradesh 82%, Nagaland 72%, Madhya Pradesh 69%, Chhattisgarh 65%, Bihar 64%). Where biological burden is greatest is not where it is least diagnosed.</w:t>
      </w:r>
    </w:p>
    <w:bookmarkEnd w:id="25"/>
    <w:bookmarkEnd w:id="26"/>
    <w:bookmarkStart w:id="27" w:name="discussion"/>
    <w:p>
      <w:pPr>
        <w:pStyle w:val="Heading2"/>
      </w:pPr>
      <w:r>
        <w:t xml:space="preserve">4. Discussion</w:t>
      </w:r>
    </w:p>
    <w:p>
      <w:pPr>
        <w:pStyle w:val="FirstParagraph"/>
      </w:pPr>
      <w:r>
        <w:t xml:space="preserve">This national analysis of measured biomarkers in older Indians yields findings with direct policy relevance. First, there is a large</w:t>
      </w:r>
      <w:r>
        <w:t xml:space="preserve"> </w:t>
      </w:r>
      <w:r>
        <w:rPr>
          <w:b/>
          <w:bCs/>
        </w:rPr>
        <w:t xml:space="preserve">diagnosis gap</w:t>
      </w:r>
      <w:r>
        <w:t xml:space="preserve">: roughly half of biochemical diabetes and nearly two-thirds of measured hypertension among adults aged 45 and older are undiagnosed [2, 3]. Second, extending the analysis to the</w:t>
      </w:r>
      <w:r>
        <w:t xml:space="preserve"> </w:t>
      </w:r>
      <w:r>
        <w:rPr>
          <w:b/>
          <w:bCs/>
        </w:rPr>
        <w:t xml:space="preserve">full care cascade</w:t>
      </w:r>
      <w:r>
        <w:t xml:space="preserve"> </w:t>
      </w:r>
      <w:r>
        <w:t xml:space="preserve">shows the diagnosis gap is only the first leak — only about two in five affected people reach control, so the</w:t>
      </w:r>
      <w:r>
        <w:t xml:space="preserve"> </w:t>
      </w:r>
      <w:r>
        <w:rPr>
          <w:i/>
          <w:iCs/>
        </w:rPr>
        <w:t xml:space="preserve">control</w:t>
      </w:r>
      <w:r>
        <w:t xml:space="preserve"> </w:t>
      </w:r>
      <w:r>
        <w:t xml:space="preserve">gap is the dominant failure, a finding that extends to diabetes and to multi-system ageing the hypertension cascade previously described in LASI [7]. Third, formal</w:t>
      </w:r>
      <w:r>
        <w:t xml:space="preserve"> </w:t>
      </w:r>
      <w:r>
        <w:rPr>
          <w:b/>
          <w:bCs/>
        </w:rPr>
        <w:t xml:space="preserve">concentration indices</w:t>
      </w:r>
      <w:r>
        <w:t xml:space="preserve"> </w:t>
      </w:r>
      <w:r>
        <w:t xml:space="preserve">show the inequality is not one-directional but a socially split</w:t>
      </w:r>
      <w:r>
        <w:t xml:space="preserve"> </w:t>
      </w:r>
      <w:r>
        <w:rPr>
          <w:i/>
          <w:iCs/>
        </w:rPr>
        <w:t xml:space="preserve">dual burden</w:t>
      </w:r>
      <w:r>
        <w:t xml:space="preserve">: undiagnosed and deficit/inflammatory ageing concentrate among the poor, cardiometabolic excess among the rich — consistent with India’s rapidly rising and increasingly affluent-skewed metabolic-disease burden [23]. These demand different responses in different places.</w:t>
      </w:r>
    </w:p>
    <w:p>
      <w:pPr>
        <w:pStyle w:val="BodyText"/>
      </w:pPr>
      <w:r>
        <w:t xml:space="preserve">The contribution is as much methodological as substantive. A previous generation of</w:t>
      </w:r>
      <w:r>
        <w:t xml:space="preserve"> </w:t>
      </w:r>
      <w:r>
        <w:t xml:space="preserve">“biological ageing vulnerability”</w:t>
      </w:r>
      <w:r>
        <w:t xml:space="preserve"> </w:t>
      </w:r>
      <w:r>
        <w:t xml:space="preserve">indices — including our own earlier work — combined biological, functional and social information into one composite and then used social variables to explain it, producing circularity and conceptual ambiguity. The present analysis keeps biology, social determinants and outcomes separate, defines abnormality by external clinical thresholds, and reports the contrast between ageing phenotypes rather than averaging it away. The honest incremental-value analysis illustrates the discipline: measured biomarkers do</w:t>
      </w:r>
      <w:r>
        <w:t xml:space="preserve"> </w:t>
      </w:r>
      <w:r>
        <w:rPr>
          <w:b/>
          <w:bCs/>
        </w:rPr>
        <w:t xml:space="preserve">not</w:t>
      </w:r>
      <w:r>
        <w:t xml:space="preserve"> </w:t>
      </w:r>
      <w:r>
        <w:t xml:space="preserve">out-predict self-reported disease for hospitalisation in general, and we say so; their distinctive value is in revealing risk among those who appear healthy by history — precisely the population opportunistic screening could reach.</w:t>
      </w:r>
    </w:p>
    <w:p>
      <w:pPr>
        <w:pStyle w:val="BodyText"/>
      </w:pPr>
      <w:r>
        <w:t xml:space="preserve">For policy, the implication is concrete and affordable. The instruments needed to close most of the diagnosis gap — a glycated-haemoglobin or capillary-glucose test and a blood-pressure cuff — are already mandated under India’s National Programme for Prevention and Control of Non-Communicable Diseases and the Ayushman Bharat Health and Wellness Centres. But the cascade results reframe the target: detection alone is insufficient when most diagnosed patients remain uncontrolled, so investment must extend to sustained treatment and follow-up, concentrated where the cascade leaks earliest — rural, less-educated and poorer older adults. The dual-burden geography argues against a one-size-fits-all package: affluent, urbanising states need metabolic risk management, while poorer states need deficit-oriented care (anaemia, nutrition, respiratory and musculoskeletal reserve) and, above all, diagnosis and treatment access.</w:t>
      </w:r>
    </w:p>
    <w:p>
      <w:pPr>
        <w:pStyle w:val="BodyText"/>
      </w:pPr>
      <w:r>
        <w:rPr>
          <w:b/>
          <w:bCs/>
        </w:rPr>
        <w:t xml:space="preserve">Limitations.</w:t>
      </w:r>
      <w:r>
        <w:t xml:space="preserve"> </w:t>
      </w:r>
      <w:r>
        <w:t xml:space="preserve">The data are cross-sectional, so no temporal or causal inference is possible; LASI Wave 2 follow-up against incident disability, hospitalisation and mortality is the essential next step. Single-visit biomarker and blood-pressure measurement may overestimate true chronic disease (regression to the mean, white-coat effect), although LASI used averaged repeat blood-pressure readings and a stable glycaemic marker; our undiagnosed and cascade estimates align with prior LASI cascade work [7]. Biomarker and spirometry availability was non-random, though differences between included and excluded participants were modest and robust to availability weighting. Spirometry z-scores were the least reliable domain and pulmonary findings are provisional. Household-exposome variables are survey proxies. Self-reported diagnosis reflects awareness and recall. Design variance used SSU clustering and module weights; full design-based estimation with district/PSU/stratum fields, where releasable, would refine intervals but is unlikely to change conclusions.</w:t>
      </w:r>
    </w:p>
    <w:bookmarkEnd w:id="27"/>
    <w:bookmarkStart w:id="28" w:name="conclusions"/>
    <w:p>
      <w:pPr>
        <w:pStyle w:val="Heading2"/>
      </w:pPr>
      <w:r>
        <w:t xml:space="preserve">5. Conclusions</w:t>
      </w:r>
    </w:p>
    <w:p>
      <w:pPr>
        <w:pStyle w:val="FirstParagraph"/>
      </w:pPr>
      <w:r>
        <w:t xml:space="preserve">In a nationally representative sample of older Indians, directly measured biomarkers reveal a large and socially patterned burden of undiagnosed and uncontrolled cardiometabolic disease. Extending the care cascade to diabetes and to multi-system biological ageing shows the largest leak is control, not diagnosis, and that the poor are lost earliest; formal concentration indices show a dual burden in which deficit ageing falls on the poor and metabolic excess on the rich. Biological measurement is most valuable not as a replacement for established indicators but as a way to find — and follow — the people those indicators miss. Closing the diagnosis-and-control gap for disadvantaged older adults is an achievable equity goal, and prospective validation in LASI Wave 2 should be the priority next step.</w:t>
      </w:r>
    </w:p>
    <w:p>
      <w:r>
        <w:pict>
          <v:rect style="width:0;height:1.5pt" o:hralign="center" o:hrstd="t" o:hr="t"/>
        </w:pict>
      </w:r>
    </w:p>
    <w:bookmarkEnd w:id="28"/>
    <w:bookmarkStart w:id="29" w:name="tables"/>
    <w:p>
      <w:pPr>
        <w:pStyle w:val="Heading2"/>
      </w:pPr>
      <w:r>
        <w:t xml:space="preserve">Tables</w:t>
      </w:r>
    </w:p>
    <w:p>
      <w:pPr>
        <w:pStyle w:val="FirstParagraph"/>
      </w:pPr>
      <w:r>
        <w:rPr>
          <w:b/>
          <w:bCs/>
        </w:rPr>
        <w:t xml:space="preserve">Table 1. The diagnosis gap: biologically measured versus self-reported disease, adults aged 45+ (LASI Wave 1).</w:t>
      </w:r>
      <w:r>
        <w:t xml:space="preserve"> </w:t>
      </w:r>
      <w:r>
        <w:t xml:space="preserve">Weighted prevalence (%) with 95% cluster-bootstrap CIs.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Weighted % (95% CI)</w:t>
            </w:r>
          </w:p>
        </w:tc>
        <w:tc>
          <w:tcPr/>
          <w:p>
            <w:pPr>
              <w:pStyle w:val="Compact"/>
            </w:pPr>
            <w:r>
              <w:t xml:space="preserve">n</w:t>
            </w:r>
          </w:p>
        </w:tc>
      </w:tr>
      <w:tr>
        <w:tc>
          <w:tcPr/>
          <w:p>
            <w:pPr>
              <w:pStyle w:val="Compact"/>
            </w:pPr>
            <w:r>
              <w:t xml:space="preserve">Self-reported diabetes</w:t>
            </w:r>
          </w:p>
        </w:tc>
        <w:tc>
          <w:tcPr/>
          <w:p>
            <w:pPr>
              <w:pStyle w:val="Compact"/>
            </w:pPr>
            <w:r>
              <w:t xml:space="preserve">12.0 (11.5–12.4)</w:t>
            </w:r>
          </w:p>
        </w:tc>
        <w:tc>
          <w:tcPr/>
          <w:p>
            <w:pPr>
              <w:pStyle w:val="Compact"/>
            </w:pPr>
            <w:r>
              <w:t xml:space="preserve">66,280</w:t>
            </w:r>
          </w:p>
        </w:tc>
      </w:tr>
      <w:tr>
        <w:tc>
          <w:tcPr/>
          <w:p>
            <w:pPr>
              <w:pStyle w:val="Compact"/>
            </w:pPr>
            <w:r>
              <w:t xml:space="preserve">Biochemical diabetes (HbA1c ≥ 6.5%)</w:t>
            </w:r>
          </w:p>
        </w:tc>
        <w:tc>
          <w:tcPr/>
          <w:p>
            <w:pPr>
              <w:pStyle w:val="Compact"/>
            </w:pPr>
            <w:r>
              <w:t xml:space="preserve">15.3 (14.7–15.9)</w:t>
            </w:r>
          </w:p>
        </w:tc>
        <w:tc>
          <w:tcPr/>
          <w:p>
            <w:pPr>
              <w:pStyle w:val="Compact"/>
            </w:pPr>
            <w:r>
              <w:t xml:space="preserve">58,289</w:t>
            </w:r>
          </w:p>
        </w:tc>
      </w:tr>
      <w:tr>
        <w:tc>
          <w:tcPr/>
          <w:p>
            <w:pPr>
              <w:pStyle w:val="Compact"/>
            </w:pPr>
            <w:r>
              <w:t xml:space="preserve">Undiagnosed among biochemically diabetic</w:t>
            </w:r>
          </w:p>
        </w:tc>
        <w:tc>
          <w:tcPr/>
          <w:p>
            <w:pPr>
              <w:pStyle w:val="Compact"/>
            </w:pPr>
            <w:r>
              <w:t xml:space="preserve">51.3 (49.8–52.7)</w:t>
            </w:r>
          </w:p>
        </w:tc>
        <w:tc>
          <w:tcPr/>
          <w:p>
            <w:pPr>
              <w:pStyle w:val="Compact"/>
            </w:pPr>
            <w:r>
              <w:t xml:space="preserve">9,365</w:t>
            </w:r>
          </w:p>
        </w:tc>
      </w:tr>
      <w:tr>
        <w:tc>
          <w:tcPr/>
          <w:p>
            <w:pPr>
              <w:pStyle w:val="Compact"/>
            </w:pPr>
            <w:r>
              <w:t xml:space="preserve">Self-reported hypertension</w:t>
            </w:r>
          </w:p>
        </w:tc>
        <w:tc>
          <w:tcPr/>
          <w:p>
            <w:pPr>
              <w:pStyle w:val="Compact"/>
            </w:pPr>
            <w:r>
              <w:t xml:space="preserve">26.1 (25.5–26.7)</w:t>
            </w:r>
          </w:p>
        </w:tc>
        <w:tc>
          <w:tcPr/>
          <w:p>
            <w:pPr>
              <w:pStyle w:val="Compact"/>
            </w:pPr>
            <w:r>
              <w:t xml:space="preserve">66,283</w:t>
            </w:r>
          </w:p>
        </w:tc>
      </w:tr>
      <w:tr>
        <w:tc>
          <w:tcPr/>
          <w:p>
            <w:pPr>
              <w:pStyle w:val="Compact"/>
            </w:pPr>
            <w:r>
              <w:t xml:space="preserve">Measured hypertension (≥140/90 mmHg)</w:t>
            </w:r>
          </w:p>
        </w:tc>
        <w:tc>
          <w:tcPr/>
          <w:p>
            <w:pPr>
              <w:pStyle w:val="Compact"/>
            </w:pPr>
            <w:r>
              <w:t xml:space="preserve">31.3 (30.6–31.9)</w:t>
            </w:r>
          </w:p>
        </w:tc>
        <w:tc>
          <w:tcPr/>
          <w:p>
            <w:pPr>
              <w:pStyle w:val="Compact"/>
            </w:pPr>
            <w:r>
              <w:t xml:space="preserve">60,373</w:t>
            </w:r>
          </w:p>
        </w:tc>
      </w:tr>
      <w:tr>
        <w:tc>
          <w:tcPr/>
          <w:p>
            <w:pPr>
              <w:pStyle w:val="Compact"/>
            </w:pPr>
            <w:r>
              <w:t xml:space="preserve">Undiagnosed among measured-hypertensive</w:t>
            </w:r>
          </w:p>
        </w:tc>
        <w:tc>
          <w:tcPr/>
          <w:p>
            <w:pPr>
              <w:pStyle w:val="Compact"/>
            </w:pPr>
            <w:r>
              <w:t xml:space="preserve">63.8 (62.8–65.0)</w:t>
            </w:r>
          </w:p>
        </w:tc>
        <w:tc>
          <w:tcPr/>
          <w:p>
            <w:pPr>
              <w:pStyle w:val="Compact"/>
            </w:pPr>
            <w:r>
              <w:t xml:space="preserve">20,554</w:t>
            </w:r>
          </w:p>
        </w:tc>
      </w:tr>
      <w:tr>
        <w:tc>
          <w:tcPr/>
          <w:p>
            <w:pPr>
              <w:pStyle w:val="Compact"/>
            </w:pPr>
            <w:r>
              <w:t xml:space="preserve">Anaemia</w:t>
            </w:r>
          </w:p>
        </w:tc>
        <w:tc>
          <w:tcPr/>
          <w:p>
            <w:pPr>
              <w:pStyle w:val="Compact"/>
            </w:pPr>
            <w:r>
              <w:t xml:space="preserve">29.9 (29.2–30.7)</w:t>
            </w:r>
          </w:p>
        </w:tc>
        <w:tc>
          <w:tcPr/>
          <w:p>
            <w:pPr>
              <w:pStyle w:val="Compact"/>
            </w:pPr>
            <w:r>
              <w:t xml:space="preserve">58,294</w:t>
            </w:r>
          </w:p>
        </w:tc>
      </w:tr>
      <w:tr>
        <w:tc>
          <w:tcPr/>
          <w:p>
            <w:pPr>
              <w:pStyle w:val="Compact"/>
            </w:pPr>
            <w:r>
              <w:t xml:space="preserve">Elevated CRP (&gt; 3 mg/L)</w:t>
            </w:r>
          </w:p>
        </w:tc>
        <w:tc>
          <w:tcPr/>
          <w:p>
            <w:pPr>
              <w:pStyle w:val="Compact"/>
            </w:pPr>
            <w:r>
              <w:t xml:space="preserve">9.6 (9.2–9.9)</w:t>
            </w:r>
          </w:p>
        </w:tc>
        <w:tc>
          <w:tcPr/>
          <w:p>
            <w:pPr>
              <w:pStyle w:val="Compact"/>
            </w:pPr>
            <w:r>
              <w:t xml:space="preserve">58,288</w:t>
            </w:r>
          </w:p>
        </w:tc>
      </w:tr>
      <w:tr>
        <w:tc>
          <w:tcPr/>
          <w:p>
            <w:pPr>
              <w:pStyle w:val="Compact"/>
            </w:pPr>
            <w:r>
              <w:t xml:space="preserve">Central obesity (IDF Asian)</w:t>
            </w:r>
          </w:p>
        </w:tc>
        <w:tc>
          <w:tcPr/>
          <w:p>
            <w:pPr>
              <w:pStyle w:val="Compact"/>
            </w:pPr>
            <w:r>
              <w:t xml:space="preserve">47.3 (46.2–48.3)</w:t>
            </w:r>
          </w:p>
        </w:tc>
        <w:tc>
          <w:tcPr/>
          <w:p>
            <w:pPr>
              <w:pStyle w:val="Compact"/>
            </w:pPr>
            <w:r>
              <w:t xml:space="preserve">59,789</w:t>
            </w:r>
          </w:p>
        </w:tc>
      </w:tr>
      <w:tr>
        <w:tc>
          <w:tcPr/>
          <w:p>
            <w:pPr>
              <w:pStyle w:val="Compact"/>
            </w:pPr>
            <w:r>
              <w:t xml:space="preserve">High subclinical burden (≥ 3 systems)</w:t>
            </w:r>
          </w:p>
        </w:tc>
        <w:tc>
          <w:tcPr/>
          <w:p>
            <w:pPr>
              <w:pStyle w:val="Compact"/>
            </w:pPr>
            <w:r>
              <w:t xml:space="preserve">23.2 (22.6–23.9)</w:t>
            </w:r>
          </w:p>
        </w:tc>
        <w:tc>
          <w:tcPr/>
          <w:p>
            <w:pPr>
              <w:pStyle w:val="Compact"/>
            </w:pPr>
            <w:r>
              <w:t xml:space="preserve">58,151</w:t>
            </w:r>
          </w:p>
        </w:tc>
      </w:tr>
    </w:tbl>
    <w:p>
      <w:pPr>
        <w:pStyle w:val="BodyText"/>
      </w:pPr>
      <w:r>
        <w:rPr>
          <w:b/>
          <w:bCs/>
        </w:rPr>
        <w:t xml:space="preserve">Table 2. Care cascade among all affected, % of affected (weighted, 95% cluster-bootstrap CI).</w:t>
      </w:r>
      <w:r>
        <w:t xml:space="preserve"> </w:t>
      </w:r>
      <w:r>
        <w:t xml:space="preserve">Affected = biologically affected OR on medication OR self-reported diagnosed.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Aware</w:t>
            </w:r>
          </w:p>
        </w:tc>
        <w:tc>
          <w:tcPr/>
          <w:p>
            <w:pPr>
              <w:pStyle w:val="Compact"/>
            </w:pPr>
            <w:r>
              <w:t xml:space="preserve">Treated</w:t>
            </w:r>
          </w:p>
        </w:tc>
        <w:tc>
          <w:tcPr/>
          <w:p>
            <w:pPr>
              <w:pStyle w:val="Compact"/>
            </w:pPr>
            <w:r>
              <w:t xml:space="preserve">Controlled</w:t>
            </w:r>
          </w:p>
        </w:tc>
      </w:tr>
      <w:tr>
        <w:tc>
          <w:tcPr/>
          <w:p>
            <w:pPr>
              <w:pStyle w:val="Compact"/>
            </w:pPr>
            <w:r>
              <w:t xml:space="preserve">Diabetes</w:t>
            </w:r>
          </w:p>
        </w:tc>
        <w:tc>
          <w:tcPr/>
          <w:p>
            <w:pPr>
              <w:pStyle w:val="Compact"/>
            </w:pPr>
            <w:r>
              <w:t xml:space="preserve">63.4 (60.1–68.3)</w:t>
            </w:r>
          </w:p>
        </w:tc>
        <w:tc>
          <w:tcPr/>
          <w:p>
            <w:pPr>
              <w:pStyle w:val="Compact"/>
            </w:pPr>
            <w:r>
              <w:t xml:space="preserve">52.0 (49.0–56.1)</w:t>
            </w:r>
          </w:p>
        </w:tc>
        <w:tc>
          <w:tcPr/>
          <w:p>
            <w:pPr>
              <w:pStyle w:val="Compact"/>
            </w:pPr>
            <w:r>
              <w:t xml:space="preserve">39.6 (34.8–42.9)</w:t>
            </w:r>
          </w:p>
        </w:tc>
      </w:tr>
      <w:tr>
        <w:tc>
          <w:tcPr/>
          <w:p>
            <w:pPr>
              <w:pStyle w:val="Compact"/>
            </w:pPr>
            <w:r>
              <w:t xml:space="preserve">Hypertension</w:t>
            </w:r>
          </w:p>
        </w:tc>
        <w:tc>
          <w:tcPr/>
          <w:p>
            <w:pPr>
              <w:pStyle w:val="Compact"/>
            </w:pPr>
            <w:r>
              <w:t xml:space="preserve">59.0 (55.9–63.9)</w:t>
            </w:r>
          </w:p>
        </w:tc>
        <w:tc>
          <w:tcPr/>
          <w:p>
            <w:pPr>
              <w:pStyle w:val="Compact"/>
            </w:pPr>
            <w:r>
              <w:t xml:space="preserve">42.0 (39.4–45.9)</w:t>
            </w:r>
          </w:p>
        </w:tc>
        <w:tc>
          <w:tcPr/>
          <w:p>
            <w:pPr>
              <w:pStyle w:val="Compact"/>
            </w:pPr>
            <w:r>
              <w:t xml:space="preserve">35.8 (31.3–42.7)</w:t>
            </w:r>
          </w:p>
        </w:tc>
      </w:tr>
    </w:tbl>
    <w:p>
      <w:pPr>
        <w:pStyle w:val="BodyText"/>
      </w:pPr>
      <w:r>
        <w:rPr>
          <w:b/>
          <w:bCs/>
        </w:rPr>
        <w:t xml:space="preserve">Table 3. Socioeconomic inequality: Erreygers concentration indices (wealth-ranked; negative = concentrated among the poor).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Erreygers index (95% CI)</w:t>
            </w:r>
          </w:p>
        </w:tc>
        <w:tc>
          <w:tcPr/>
          <w:p>
            <w:pPr>
              <w:pStyle w:val="Compact"/>
            </w:pPr>
            <w:r>
              <w:t xml:space="preserve">Concentration</w:t>
            </w:r>
          </w:p>
        </w:tc>
      </w:tr>
      <w:tr>
        <w:tc>
          <w:tcPr/>
          <w:p>
            <w:pPr>
              <w:pStyle w:val="Compact"/>
            </w:pPr>
            <w:r>
              <w:t xml:space="preserve">Undiagnosed diabetes</w:t>
            </w:r>
          </w:p>
        </w:tc>
        <w:tc>
          <w:tcPr/>
          <w:p>
            <w:pPr>
              <w:pStyle w:val="Compact"/>
            </w:pPr>
            <w:r>
              <w:t xml:space="preserve">−0.090 (−0.122, −0.062)</w:t>
            </w:r>
          </w:p>
        </w:tc>
        <w:tc>
          <w:tcPr/>
          <w:p>
            <w:pPr>
              <w:pStyle w:val="Compact"/>
            </w:pPr>
            <w:r>
              <w:t xml:space="preserve">Pro-poor</w:t>
            </w:r>
          </w:p>
        </w:tc>
      </w:tr>
      <w:tr>
        <w:tc>
          <w:tcPr/>
          <w:p>
            <w:pPr>
              <w:pStyle w:val="Compact"/>
            </w:pPr>
            <w:r>
              <w:t xml:space="preserve">Undiagnosed hypertension</w:t>
            </w:r>
          </w:p>
        </w:tc>
        <w:tc>
          <w:tcPr/>
          <w:p>
            <w:pPr>
              <w:pStyle w:val="Compact"/>
            </w:pPr>
            <w:r>
              <w:t xml:space="preserve">−0.028 (−0.048, −0.007)</w:t>
            </w:r>
          </w:p>
        </w:tc>
        <w:tc>
          <w:tcPr/>
          <w:p>
            <w:pPr>
              <w:pStyle w:val="Compact"/>
            </w:pPr>
            <w:r>
              <w:t xml:space="preserve">Pro-poor</w:t>
            </w:r>
          </w:p>
        </w:tc>
      </w:tr>
      <w:tr>
        <w:tc>
          <w:tcPr/>
          <w:p>
            <w:pPr>
              <w:pStyle w:val="Compact"/>
            </w:pPr>
            <w:r>
              <w:t xml:space="preserve">Anaemia</w:t>
            </w:r>
          </w:p>
        </w:tc>
        <w:tc>
          <w:tcPr/>
          <w:p>
            <w:pPr>
              <w:pStyle w:val="Compact"/>
            </w:pPr>
            <w:r>
              <w:t xml:space="preserve">−0.038 (−0.049, −0.025)</w:t>
            </w:r>
          </w:p>
        </w:tc>
        <w:tc>
          <w:tcPr/>
          <w:p>
            <w:pPr>
              <w:pStyle w:val="Compact"/>
            </w:pPr>
            <w:r>
              <w:t xml:space="preserve">Pro-poor</w:t>
            </w:r>
          </w:p>
        </w:tc>
      </w:tr>
      <w:tr>
        <w:tc>
          <w:tcPr/>
          <w:p>
            <w:pPr>
              <w:pStyle w:val="Compact"/>
            </w:pPr>
            <w:r>
              <w:t xml:space="preserve">Low grip strength</w:t>
            </w:r>
          </w:p>
        </w:tc>
        <w:tc>
          <w:tcPr/>
          <w:p>
            <w:pPr>
              <w:pStyle w:val="Compact"/>
            </w:pPr>
            <w:r>
              <w:t xml:space="preserve">−0.067 (−0.078, −0.056)</w:t>
            </w:r>
          </w:p>
        </w:tc>
        <w:tc>
          <w:tcPr/>
          <w:p>
            <w:pPr>
              <w:pStyle w:val="Compact"/>
            </w:pPr>
            <w:r>
              <w:t xml:space="preserve">Pro-poor</w:t>
            </w:r>
          </w:p>
        </w:tc>
      </w:tr>
      <w:tr>
        <w:tc>
          <w:tcPr/>
          <w:p>
            <w:pPr>
              <w:pStyle w:val="Compact"/>
            </w:pPr>
            <w:r>
              <w:t xml:space="preserve">Uncontrolled diabetes</w:t>
            </w:r>
          </w:p>
        </w:tc>
        <w:tc>
          <w:tcPr/>
          <w:p>
            <w:pPr>
              <w:pStyle w:val="Compact"/>
            </w:pPr>
            <w:r>
              <w:t xml:space="preserve">+0.027 (0.002, 0.052)</w:t>
            </w:r>
          </w:p>
        </w:tc>
        <w:tc>
          <w:tcPr/>
          <w:p>
            <w:pPr>
              <w:pStyle w:val="Compact"/>
            </w:pPr>
            <w:r>
              <w:t xml:space="preserve">Pro-rich</w:t>
            </w:r>
          </w:p>
        </w:tc>
      </w:tr>
      <w:tr>
        <w:tc>
          <w:tcPr/>
          <w:p>
            <w:pPr>
              <w:pStyle w:val="Compact"/>
            </w:pPr>
            <w:r>
              <w:t xml:space="preserve">Dysglycaemia</w:t>
            </w:r>
          </w:p>
        </w:tc>
        <w:tc>
          <w:tcPr/>
          <w:p>
            <w:pPr>
              <w:pStyle w:val="Compact"/>
            </w:pPr>
            <w:r>
              <w:t xml:space="preserve">+0.036 (0.027, 0.046)</w:t>
            </w:r>
          </w:p>
        </w:tc>
        <w:tc>
          <w:tcPr/>
          <w:p>
            <w:pPr>
              <w:pStyle w:val="Compact"/>
            </w:pPr>
            <w:r>
              <w:t xml:space="preserve">Pro-rich</w:t>
            </w:r>
          </w:p>
        </w:tc>
      </w:tr>
      <w:tr>
        <w:tc>
          <w:tcPr/>
          <w:p>
            <w:pPr>
              <w:pStyle w:val="Compact"/>
            </w:pPr>
            <w:r>
              <w:t xml:space="preserve">Central obesity</w:t>
            </w:r>
          </w:p>
        </w:tc>
        <w:tc>
          <w:tcPr/>
          <w:p>
            <w:pPr>
              <w:pStyle w:val="Compact"/>
            </w:pPr>
            <w:r>
              <w:t xml:space="preserve">+0.132 (0.118, 0.147)</w:t>
            </w:r>
          </w:p>
        </w:tc>
        <w:tc>
          <w:tcPr/>
          <w:p>
            <w:pPr>
              <w:pStyle w:val="Compact"/>
            </w:pPr>
            <w:r>
              <w:t xml:space="preserve">Pro-rich</w:t>
            </w:r>
          </w:p>
        </w:tc>
      </w:tr>
      <w:tr>
        <w:tc>
          <w:tcPr/>
          <w:p>
            <w:pPr>
              <w:pStyle w:val="Compact"/>
            </w:pPr>
            <w:r>
              <w:t xml:space="preserve">High biological burden</w:t>
            </w:r>
          </w:p>
        </w:tc>
        <w:tc>
          <w:tcPr/>
          <w:p>
            <w:pPr>
              <w:pStyle w:val="Compact"/>
            </w:pPr>
            <w:r>
              <w:t xml:space="preserve">+0.029 (0.018, 0.041)</w:t>
            </w:r>
          </w:p>
        </w:tc>
        <w:tc>
          <w:tcPr/>
          <w:p>
            <w:pPr>
              <w:pStyle w:val="Compact"/>
            </w:pPr>
            <w:r>
              <w:t xml:space="preserve">Pro-rich</w:t>
            </w:r>
          </w:p>
        </w:tc>
      </w:tr>
    </w:tbl>
    <w:p>
      <w:pPr>
        <w:pStyle w:val="BodyText"/>
      </w:pPr>
      <w:r>
        <w:rPr>
          <w:b/>
          <w:bCs/>
        </w:rPr>
        <w:t xml:space="preserve">Table 4. Incremental value for predicting past-year hospitalisation (nested weighted logistic models, n = 38,155).</w:t>
      </w:r>
      <w:r>
        <w:t xml:space="preserve"> </w:t>
      </w:r>
      <w:r>
        <w:t xml:space="preserve">AUROC with 95% bootstrap CI.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AUROC (95% CI)</w:t>
            </w:r>
          </w:p>
        </w:tc>
        <w:tc>
          <w:tcPr/>
          <w:p>
            <w:pPr>
              <w:pStyle w:val="Compact"/>
            </w:pPr>
            <w:r>
              <w:t xml:space="preserve">AIC</w:t>
            </w:r>
          </w:p>
        </w:tc>
      </w:tr>
      <w:tr>
        <w:tc>
          <w:tcPr/>
          <w:p>
            <w:pPr>
              <w:pStyle w:val="Compact"/>
            </w:pPr>
            <w:r>
              <w:t xml:space="preserve">M1: age + sex</w:t>
            </w:r>
          </w:p>
        </w:tc>
        <w:tc>
          <w:tcPr/>
          <w:p>
            <w:pPr>
              <w:pStyle w:val="Compact"/>
            </w:pPr>
            <w:r>
              <w:t xml:space="preserve">0.548 (0.538–0.558)</w:t>
            </w:r>
          </w:p>
        </w:tc>
        <w:tc>
          <w:tcPr/>
          <w:p>
            <w:pPr>
              <w:pStyle w:val="Compact"/>
            </w:pPr>
            <w:r>
              <w:t xml:space="preserve">26,051.5</w:t>
            </w:r>
          </w:p>
        </w:tc>
      </w:tr>
      <w:tr>
        <w:tc>
          <w:tcPr/>
          <w:p>
            <w:pPr>
              <w:pStyle w:val="Compact"/>
            </w:pPr>
            <w:r>
              <w:t xml:space="preserve">M2: + social/behavioural (simple indicators)</w:t>
            </w:r>
          </w:p>
        </w:tc>
        <w:tc>
          <w:tcPr/>
          <w:p>
            <w:pPr>
              <w:pStyle w:val="Compact"/>
            </w:pPr>
            <w:r>
              <w:t xml:space="preserve">0.568 (0.561–0.578)</w:t>
            </w:r>
          </w:p>
        </w:tc>
        <w:tc>
          <w:tcPr/>
          <w:p>
            <w:pPr>
              <w:pStyle w:val="Compact"/>
            </w:pPr>
            <w:r>
              <w:t xml:space="preserve">25,919.7</w:t>
            </w:r>
          </w:p>
        </w:tc>
      </w:tr>
      <w:tr>
        <w:tc>
          <w:tcPr/>
          <w:p>
            <w:pPr>
              <w:pStyle w:val="Compact"/>
            </w:pPr>
            <w:r>
              <w:t xml:space="preserve">M3: + self-reported disease</w:t>
            </w:r>
          </w:p>
        </w:tc>
        <w:tc>
          <w:tcPr/>
          <w:p>
            <w:pPr>
              <w:pStyle w:val="Compact"/>
            </w:pPr>
            <w:r>
              <w:t xml:space="preserve">0.614 (0.606–0.623)</w:t>
            </w:r>
          </w:p>
        </w:tc>
        <w:tc>
          <w:tcPr/>
          <w:p>
            <w:pPr>
              <w:pStyle w:val="Compact"/>
            </w:pPr>
            <w:r>
              <w:t xml:space="preserve">25,351.1</w:t>
            </w:r>
          </w:p>
        </w:tc>
      </w:tr>
      <w:tr>
        <w:tc>
          <w:tcPr/>
          <w:p>
            <w:pPr>
              <w:pStyle w:val="Compact"/>
            </w:pPr>
            <w:r>
              <w:t xml:space="preserve">M4: + measured biomarker burden</w:t>
            </w:r>
          </w:p>
        </w:tc>
        <w:tc>
          <w:tcPr/>
          <w:p>
            <w:pPr>
              <w:pStyle w:val="Compact"/>
            </w:pPr>
            <w:r>
              <w:t xml:space="preserve">0.615 (0.607–0.624)</w:t>
            </w:r>
          </w:p>
        </w:tc>
        <w:tc>
          <w:tcPr/>
          <w:p>
            <w:pPr>
              <w:pStyle w:val="Compact"/>
            </w:pPr>
            <w:r>
              <w:t xml:space="preserve">25,343.1</w:t>
            </w:r>
          </w:p>
        </w:tc>
      </w:tr>
    </w:tbl>
    <w:bookmarkEnd w:id="29"/>
    <w:bookmarkStart w:id="30" w:name="figure-legends"/>
    <w:p>
      <w:pPr>
        <w:pStyle w:val="Heading2"/>
      </w:pPr>
      <w:r>
        <w:t xml:space="preserve">Figure legends</w:t>
      </w:r>
    </w:p>
    <w:p>
      <w:pPr>
        <w:pStyle w:val="FirstParagraph"/>
      </w:pPr>
      <w:r>
        <w:rPr>
          <w:b/>
          <w:bCs/>
        </w:rPr>
        <w:t xml:space="preserve">Figure 1.</w:t>
      </w:r>
      <w:r>
        <w:t xml:space="preserve"> </w:t>
      </w:r>
      <w:r>
        <w:t xml:space="preserve">The diagnosis gap: weighted prevalence of biologically measured versus self-reported diabetes and hypertension (adults 45+, LASI Wave 1). Annotations show the undiagnosed percentage among the biologically affected.</w:t>
      </w:r>
    </w:p>
    <w:p>
      <w:pPr>
        <w:pStyle w:val="BodyText"/>
      </w:pPr>
      <w:r>
        <w:rPr>
          <w:b/>
          <w:bCs/>
        </w:rPr>
        <w:t xml:space="preserve">Figure 2.</w:t>
      </w:r>
      <w:r>
        <w:t xml:space="preserve"> </w:t>
      </w:r>
      <w:r>
        <w:t xml:space="preserve">Care cascade among all affected older Indians (aware → treated → controlled) for diabetes and hypertension.</w:t>
      </w:r>
    </w:p>
    <w:p>
      <w:pPr>
        <w:pStyle w:val="BodyText"/>
      </w:pPr>
      <w:r>
        <w:rPr>
          <w:b/>
          <w:bCs/>
        </w:rPr>
        <w:t xml:space="preserve">Figure 3.</w:t>
      </w:r>
      <w:r>
        <w:t xml:space="preserve"> </w:t>
      </w:r>
      <w:r>
        <w:t xml:space="preserve">Social patterning of undiagnosed diabetes (among the biochemically diabetic) by residence, sex, education and household wealth.</w:t>
      </w:r>
    </w:p>
    <w:p>
      <w:pPr>
        <w:pStyle w:val="BodyText"/>
      </w:pPr>
      <w:r>
        <w:rPr>
          <w:b/>
          <w:bCs/>
        </w:rPr>
        <w:t xml:space="preserve">Figure 4.</w:t>
      </w:r>
      <w:r>
        <w:t xml:space="preserve"> </w:t>
      </w:r>
      <w:r>
        <w:t xml:space="preserve">Socioeconomic inequality in biological ageing burden: Erreygers concentration indices (wealth-ranked). Teal = concentrated among the poor; coral = concentrated among the rich.</w:t>
      </w:r>
    </w:p>
    <w:p>
      <w:pPr>
        <w:pStyle w:val="BodyText"/>
      </w:pPr>
      <w:r>
        <w:rPr>
          <w:b/>
          <w:bCs/>
        </w:rPr>
        <w:t xml:space="preserve">Figure 5.</w:t>
      </w:r>
      <w:r>
        <w:t xml:space="preserve"> </w:t>
      </w:r>
      <w:r>
        <w:t xml:space="preserve">Incremental value of measured biomarker burden for predicting past-year hospitalisation: AUROC (95% CI) across nested models.</w:t>
      </w:r>
    </w:p>
    <w:p>
      <w:pPr>
        <w:pStyle w:val="BodyText"/>
      </w:pPr>
      <w:r>
        <w:rPr>
          <w:b/>
          <w:bCs/>
        </w:rPr>
        <w:t xml:space="preserve">Figure 6.</w:t>
      </w:r>
      <w:r>
        <w:t xml:space="preserve"> </w:t>
      </w:r>
      <w:r>
        <w:t xml:space="preserve">State/union-territory surveillance maps: undiagnosed diabetes, undiagnosed hypertension, high multi-system biological burden, and hypertension control (weighted).</w:t>
      </w:r>
    </w:p>
    <w:p>
      <w:pPr>
        <w:pStyle w:val="BodyText"/>
      </w:pPr>
      <w:r>
        <w:rPr>
          <w:b/>
          <w:bCs/>
        </w:rPr>
        <w:t xml:space="preserve">Supplementary Figure S1.</w:t>
      </w:r>
      <w:r>
        <w:t xml:space="preserve"> </w:t>
      </w:r>
      <w:r>
        <w:t xml:space="preserve">State ranking by high biological burden.</w:t>
      </w:r>
      <w:r>
        <w:t xml:space="preserve"> </w:t>
      </w:r>
      <w:r>
        <w:rPr>
          <w:b/>
          <w:bCs/>
        </w:rPr>
        <w:t xml:space="preserve">Supplementary Figure S2.</w:t>
      </w:r>
      <w:r>
        <w:t xml:space="preserve"> </w:t>
      </w:r>
      <w:r>
        <w:t xml:space="preserve">Adjusted predictors (incidence-rate ratios) of the subclinical biomarker burden count (conflates opposing phenotypes; domain-specific associations in Supplementary Table S7 are primary).</w:t>
      </w:r>
    </w:p>
    <w:p>
      <w:r>
        <w:pict>
          <v:rect style="width:0;height:1.5pt" o:hralign="center" o:hrstd="t" o:hr="t"/>
        </w:pict>
      </w:r>
    </w:p>
    <w:bookmarkEnd w:id="30"/>
    <w:bookmarkStart w:id="31" w:name="declarations"/>
    <w:p>
      <w:pPr>
        <w:pStyle w:val="Heading2"/>
      </w:pPr>
      <w:r>
        <w:t xml:space="preserve">Declarations</w:t>
      </w:r>
    </w:p>
    <w:p>
      <w:pPr>
        <w:pStyle w:val="FirstParagraph"/>
      </w:pPr>
      <w:r>
        <w:rPr>
          <w:b/>
          <w:bCs/>
        </w:rPr>
        <w:t xml:space="preserve">Ethics approval and consent to participate.</w:t>
      </w:r>
      <w:r>
        <w:t xml:space="preserve"> </w:t>
      </w:r>
      <w:r>
        <w:t xml:space="preserve">This study is a secondary analysis of de-identified data from LASI Wave 1, obtained under provider access conditions. The original LASI protocol received ethics approval from the Indian Council of Medical Research and the institutional review boards of the partner institutions, and all original participants gave written informed consent. As a secondary analysis of de-identified data involving no new participant contact, an institutional ethics determination/waiver will be provided on request.</w:t>
      </w:r>
    </w:p>
    <w:p>
      <w:pPr>
        <w:pStyle w:val="BodyText"/>
      </w:pPr>
      <w:r>
        <w:rPr>
          <w:b/>
          <w:bCs/>
        </w:rPr>
        <w:t xml:space="preserve">Consent for publication.</w:t>
      </w:r>
      <w:r>
        <w:t xml:space="preserve"> </w:t>
      </w:r>
      <w:r>
        <w:t xml:space="preserve">Not applicable; no identifiable individual data are presented.</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work received no specific grant from any funding agency in the public, commercial or not-for-profit sectors.</w:t>
      </w:r>
    </w:p>
    <w:p>
      <w:pPr>
        <w:pStyle w:val="BodyText"/>
      </w:pPr>
      <w:r>
        <w:rPr>
          <w:b/>
          <w:bCs/>
        </w:rPr>
        <w:t xml:space="preserve">Author contributions.</w:t>
      </w:r>
      <w:r>
        <w:t xml:space="preserve"> </w:t>
      </w:r>
      <w:r>
        <w:t xml:space="preserve">S.H.S. conceived and designed the study, curated and linked the data, implemented the reproducible analysis pipeline, analysed and interpreted the data, drafted and revised the manuscript, and is guarantor of the work.</w:t>
      </w:r>
    </w:p>
    <w:p>
      <w:pPr>
        <w:pStyle w:val="BodyText"/>
      </w:pPr>
      <w:r>
        <w:rPr>
          <w:b/>
          <w:bCs/>
        </w:rPr>
        <w:t xml:space="preserve">Acknowledgements.</w:t>
      </w:r>
      <w:r>
        <w:t xml:space="preserve"> </w:t>
      </w:r>
      <w:r>
        <w:t xml:space="preserve">The author thanks the LASI investigators, IIPS, the Harvard T.H. Chan School of Public Health, the University of Southern California, the National Programme for Health Care of the Elderly, and the Gateway to Global Aging Data. This acknowledgement does not imply their endorsement.</w:t>
      </w:r>
    </w:p>
    <w:p>
      <w:pPr>
        <w:pStyle w:val="BodyText"/>
      </w:pPr>
      <w:r>
        <w:rPr>
          <w:b/>
          <w:bCs/>
        </w:rPr>
        <w:t xml:space="preserve">Use of AI tools.</w:t>
      </w:r>
      <w:r>
        <w:t xml:space="preserve"> </w:t>
      </w:r>
      <w:r>
        <w:t xml:space="preserve">Analysis code and manuscript drafting were assisted by a general-purpose AI coding assistant under the author’s direction; all analyses, interpretations and final text are the author’s responsibility and were verified by the author.</w:t>
      </w:r>
    </w:p>
    <w:p>
      <w:pPr>
        <w:pStyle w:val="BodyText"/>
      </w:pPr>
      <w:r>
        <w:rPr>
          <w:b/>
          <w:bCs/>
        </w:rPr>
        <w:t xml:space="preserve">Data availability.</w:t>
      </w:r>
      <w:r>
        <w:t xml:space="preserve"> </w:t>
      </w:r>
      <w:r>
        <w:t xml:space="preserve">Individual-level LASI Wave 1 microdata (Gateway to Global Aging harmonized files and the IIPS dried-blood-spot and spirometry datasets) are governed by the data providers’ access conditions and cannot be redistributed by the author. They are available to qualified researchers on application to the Gateway to Global Aging Data (https://g2aging.org) and IIPS (https://www.iipsindia.ac.in/lasi). The analysis code reproducing every table and figure, the variable-construction specification, and aggregate non-disclosive outputs will be deposited in a public repository (Zenodo/GitHub) on acceptance, with the DOI cited here, and are available from the author on reasonable request meanwhile.</w:t>
      </w:r>
    </w:p>
    <w:p>
      <w:r>
        <w:pict>
          <v:rect style="width:0;height:1.5pt" o:hralign="center" o:hrstd="t" o:hr="t"/>
        </w:pict>
      </w:r>
    </w:p>
    <w:bookmarkEnd w:id="31"/>
    <w:bookmarkStart w:id="32" w:name="references"/>
    <w:p>
      <w:pPr>
        <w:pStyle w:val="Heading2"/>
      </w:pPr>
      <w:r>
        <w:t xml:space="preserve">References</w:t>
      </w:r>
    </w:p>
    <w:p>
      <w:pPr>
        <w:pStyle w:val="Compact"/>
        <w:numPr>
          <w:ilvl w:val="0"/>
          <w:numId w:val="1001"/>
        </w:numPr>
      </w:pPr>
      <w:r>
        <w:t xml:space="preserve">International Institute for Population Sciences, United Nations Population Fund. India Ageing Report 2023: caring for our elders — institutional responses. New Delhi: UNFPA; 2023. Available from: https://india.unfpa.org/en/publications/india-ageing-report-2023 (accessed 12 June 2026).</w:t>
      </w:r>
    </w:p>
    <w:p>
      <w:pPr>
        <w:pStyle w:val="Compact"/>
        <w:numPr>
          <w:ilvl w:val="0"/>
          <w:numId w:val="1001"/>
        </w:numPr>
      </w:pPr>
      <w:r>
        <w:t xml:space="preserve">Geldsetzer P, Manne-Goehler J, Theilmann M, Davies JI, Awasthi A, Vollmer S, et al. Diabetes and hypertension in India: a nationally representative study of 1.3 million adults. JAMA Intern Med. 2018;178(3):363–72. https://doi.org/10.1001/jamainternmed.2017.8094.</w:t>
      </w:r>
    </w:p>
    <w:p>
      <w:pPr>
        <w:pStyle w:val="Compact"/>
        <w:numPr>
          <w:ilvl w:val="0"/>
          <w:numId w:val="1001"/>
        </w:numPr>
      </w:pPr>
      <w:r>
        <w:t xml:space="preserve">Prenissl J, Manne-Goehler J, Jaacks LM, Prabhakaran D, Awasthi A, Bischops AC, et al. Hypertension screening, awareness, treatment, and control in India: a nationally representative cross-sectional study among individuals aged 15 to 49 years. PLoS Med. 2019;16(5):e1002801. https://doi.org/10.1371/journal.pmed.1002801.</w:t>
      </w:r>
    </w:p>
    <w:p>
      <w:pPr>
        <w:pStyle w:val="Compact"/>
        <w:numPr>
          <w:ilvl w:val="0"/>
          <w:numId w:val="1001"/>
        </w:numPr>
      </w:pPr>
      <w:r>
        <w:t xml:space="preserve">Crimmins EM, Kim JK, Vasunilashorn S. Biodemography: new approaches to understanding trends and differences in population health and mortality. Demography. 2010;47 Suppl:S41–64. https://doi.org/10.1353/dem.2010.0005.</w:t>
      </w:r>
    </w:p>
    <w:p>
      <w:pPr>
        <w:pStyle w:val="Compact"/>
        <w:numPr>
          <w:ilvl w:val="0"/>
          <w:numId w:val="1001"/>
        </w:numPr>
      </w:pPr>
      <w:r>
        <w:t xml:space="preserve">Perianayagam A, Bloom D, Lee J, Parasuraman S, Sekher TV, Mohanty SK, et al. Cohort Profile: the Longitudinal Ageing Study in India (LASI). Int J Epidemiol. 2022;51(4):e167–76. https://doi.org/10.1093/ije/dyab266.</w:t>
      </w:r>
    </w:p>
    <w:p>
      <w:pPr>
        <w:pStyle w:val="Compact"/>
        <w:numPr>
          <w:ilvl w:val="0"/>
          <w:numId w:val="1001"/>
        </w:numPr>
      </w:pPr>
      <w:r>
        <w:t xml:space="preserve">International Institute for Population Sciences, National Programme for Health Care of Elderly, Harvard T.H. Chan School of Public Health, University of Southern California. Longitudinal Ageing Study in India (LASI) Wave 1, 2017–18: India report. Mumbai: IIPS; 2020. Available from: https://www.iipsindia.ac.in/sites/default/files/LASI_India_Report_2020_compressed.pdf (accessed 12 June 2026).</w:t>
      </w:r>
    </w:p>
    <w:p>
      <w:pPr>
        <w:pStyle w:val="Compact"/>
        <w:numPr>
          <w:ilvl w:val="0"/>
          <w:numId w:val="1001"/>
        </w:numPr>
      </w:pPr>
      <w:r>
        <w:t xml:space="preserve">Mohanty SK, Pedgaonkar SP, Upadhyay AK, Kämpfen F, Shekhar P, Mishra RS, et al. Awareness, treatment, and control of hypertension in adults aged 45 years and over and their spouses in India: a nationally representative cross-sectional study. PLoS Med. 2021;18(8):e1003740. https://doi.org/10.1371/journal.pmed.1003740.</w:t>
      </w:r>
    </w:p>
    <w:p>
      <w:pPr>
        <w:pStyle w:val="Compact"/>
        <w:numPr>
          <w:ilvl w:val="0"/>
          <w:numId w:val="1001"/>
        </w:numPr>
      </w:pPr>
      <w:r>
        <w:t xml:space="preserve">Gateway to Global Aging Data. Harmonized LASI, Version A.3 (full Longitudinal Ageing Study in India; not LASI-DAD). Los Angeles: University of Southern California; 2023. Available from: https://g2aging.org (accessed 12 June 2026).</w:t>
      </w:r>
    </w:p>
    <w:p>
      <w:pPr>
        <w:pStyle w:val="Compact"/>
        <w:numPr>
          <w:ilvl w:val="0"/>
          <w:numId w:val="1001"/>
        </w:numPr>
      </w:pPr>
      <w:r>
        <w:t xml:space="preserve">von Elm E, Altman DG, Egger M, Pocock SJ, Gøtzsche PC, Vandenbroucke JP. The Strengthening the Reporting of Observational Studies in Epidemiology (STROBE) statement: guidelines for reporting observational studies. Lancet. 2007;370(9596):1453–7. https://doi.org/10.1016/S0140-6736(07)61602-X.</w:t>
      </w:r>
    </w:p>
    <w:p>
      <w:pPr>
        <w:pStyle w:val="Compact"/>
        <w:numPr>
          <w:ilvl w:val="0"/>
          <w:numId w:val="1001"/>
        </w:numPr>
      </w:pPr>
      <w:r>
        <w:t xml:space="preserve">American Diabetes Association Professional Practice Committee. 2. Diagnosis and classification of diabetes: Standards of Care in Diabetes—2026. Diabetes Care. 2026;49(Suppl 1):S27–49. https://doi.org/10.2337/dc26-S002.</w:t>
      </w:r>
    </w:p>
    <w:p>
      <w:pPr>
        <w:pStyle w:val="Compact"/>
        <w:numPr>
          <w:ilvl w:val="0"/>
          <w:numId w:val="1001"/>
        </w:numPr>
      </w:pPr>
      <w:r>
        <w:t xml:space="preserve">Unger T, Borghi C, Charchar F, Khan NA, Poulter NR, Prabhakaran D, et al. 2020 International Society of Hypertension global hypertension practice guidelines. Hypertension. 2020;75(6):1334–57. https://doi.org/10.1161/HYPERTENSIONAHA.120.15026.</w:t>
      </w:r>
    </w:p>
    <w:p>
      <w:pPr>
        <w:pStyle w:val="Compact"/>
        <w:numPr>
          <w:ilvl w:val="0"/>
          <w:numId w:val="1001"/>
        </w:numPr>
      </w:pPr>
      <w:r>
        <w:t xml:space="preserve">World Health Organization. Haemoglobin concentrations for the diagnosis of anaemia and assessment of severity (WHO/NMH/NHD/MNM/11.1). Geneva: WHO; 2011. Available from: https://iris.who.int/handle/10665/85839 (accessed 12 June 2026).</w:t>
      </w:r>
    </w:p>
    <w:p>
      <w:pPr>
        <w:pStyle w:val="Compact"/>
        <w:numPr>
          <w:ilvl w:val="0"/>
          <w:numId w:val="1001"/>
        </w:numPr>
      </w:pPr>
      <w:r>
        <w:t xml:space="preserve">Pearson TA, Mensah GA, Alexander RW, Anderson JL, Cannon RO 3rd, Criqui M, et al. Markers of inflammation and cardiovascular disease: application to clinical and public health practice: a statement for healthcare professionals from the Centers for Disease Control and Prevention and the American Heart Association. Circulation. 2003;107(3):499–511. https://doi.org/10.1161/01.CIR.0000052939.59093.45.</w:t>
      </w:r>
    </w:p>
    <w:p>
      <w:pPr>
        <w:pStyle w:val="Compact"/>
        <w:numPr>
          <w:ilvl w:val="0"/>
          <w:numId w:val="1001"/>
        </w:numPr>
      </w:pPr>
      <w:r>
        <w:t xml:space="preserve">Quanjer PH, Stanojevic S, Cole TJ, Baur X, Hall GL, Culver BH, et al. Multi-ethnic reference values for spirometry for the 3–95-yr age range: the global lung function 2012 equations. Eur Respir J. 2012;40(6):1324–43. https://doi.org/10.1183/09031936.00080312.</w:t>
      </w:r>
    </w:p>
    <w:p>
      <w:pPr>
        <w:pStyle w:val="Compact"/>
        <w:numPr>
          <w:ilvl w:val="0"/>
          <w:numId w:val="1001"/>
        </w:numPr>
      </w:pPr>
      <w:r>
        <w:t xml:space="preserve">Alberti KGMM, Eckel RH, Grundy SM, Zimmet PZ, Cleeman JI, Donato KA, et al. Harmonizing the metabolic syndrome: a joint interim statement. Circulation. 2009;120(16):1640–5. https://doi.org/10.1161/CIRCULATIONAHA.109.192644.</w:t>
      </w:r>
    </w:p>
    <w:p>
      <w:pPr>
        <w:pStyle w:val="Compact"/>
        <w:numPr>
          <w:ilvl w:val="0"/>
          <w:numId w:val="1001"/>
        </w:numPr>
      </w:pPr>
      <w:r>
        <w:t xml:space="preserve">Cohen AA, Milot E, Yong J, Seplaki CL, Fülöp T, Bandeen-Roche K, et al. A novel statistical approach shows evidence for multi-system physiological dysregulation during aging. Mech Ageing Dev. 2013;134(3–4):110–7. https://doi.org/10.1016/j.mad.2013.01.004.</w:t>
      </w:r>
    </w:p>
    <w:p>
      <w:pPr>
        <w:pStyle w:val="Compact"/>
        <w:numPr>
          <w:ilvl w:val="0"/>
          <w:numId w:val="1001"/>
        </w:numPr>
      </w:pPr>
      <w:r>
        <w:t xml:space="preserve">Seeman TE, McEwen BS, Rowe JW, Singer BH. Allostatic load as a marker of cumulative biological risk: MacArthur studies of successful aging. Proc Natl Acad Sci U S A. 2001;98(8):4770–5. https://doi.org/10.1073/pnas.081072698.</w:t>
      </w:r>
    </w:p>
    <w:p>
      <w:pPr>
        <w:pStyle w:val="Compact"/>
        <w:numPr>
          <w:ilvl w:val="0"/>
          <w:numId w:val="1001"/>
        </w:numPr>
      </w:pPr>
      <w:r>
        <w:t xml:space="preserve">Klemera P, Doubal S. A new approach to the concept and computation of biological age. Mech Ageing Dev. 2006;127(3):240–8. https://doi.org/10.1016/j.mad.2005.10.004.</w:t>
      </w:r>
    </w:p>
    <w:p>
      <w:pPr>
        <w:pStyle w:val="Compact"/>
        <w:numPr>
          <w:ilvl w:val="0"/>
          <w:numId w:val="1001"/>
        </w:numPr>
      </w:pPr>
      <w:r>
        <w:t xml:space="preserve">Levine ME. Modeling the rate of senescence: can estimated biological age predict mortality more accurately than chronological age? J Gerontol A Biol Sci Med Sci. 2013;68(6):667–74. https://doi.org/10.1093/gerona/gls233.</w:t>
      </w:r>
    </w:p>
    <w:p>
      <w:pPr>
        <w:pStyle w:val="Compact"/>
        <w:numPr>
          <w:ilvl w:val="0"/>
          <w:numId w:val="1001"/>
        </w:numPr>
      </w:pPr>
      <w:r>
        <w:t xml:space="preserve">Wild CP. Complementing the genome with an</w:t>
      </w:r>
      <w:r>
        <w:t xml:space="preserve"> </w:t>
      </w:r>
      <w:r>
        <w:t xml:space="preserve">“exposome”</w:t>
      </w:r>
      <w:r>
        <w:t xml:space="preserve">: the outstanding challenge of environmental exposure measurement in molecular epidemiology. Cancer Epidemiol Biomarkers Prev. 2005;14(8):1847–50. https://doi.org/10.1158/1055-9965.EPI-05-0456.</w:t>
      </w:r>
    </w:p>
    <w:p>
      <w:pPr>
        <w:pStyle w:val="Compact"/>
        <w:numPr>
          <w:ilvl w:val="0"/>
          <w:numId w:val="1001"/>
        </w:numPr>
      </w:pPr>
      <w:r>
        <w:t xml:space="preserve">O’Donnell O, van Doorslaer E, Wagstaff A, Lindelow M. Analyzing health equity using household survey data: a guide to techniques and their implementation. Washington (DC): World Bank; 2008. https://doi.org/10.1596/978-0-8213-6933-3.</w:t>
      </w:r>
    </w:p>
    <w:p>
      <w:pPr>
        <w:pStyle w:val="Compact"/>
        <w:numPr>
          <w:ilvl w:val="0"/>
          <w:numId w:val="1001"/>
        </w:numPr>
      </w:pPr>
      <w:r>
        <w:t xml:space="preserve">Erreygers G. Correcting the concentration index. J Health Econ. 2009;28(2):504–15. https://doi.org/10.1016/j.jhealeco.2008.02.003.</w:t>
      </w:r>
    </w:p>
    <w:p>
      <w:pPr>
        <w:pStyle w:val="Compact"/>
        <w:numPr>
          <w:ilvl w:val="0"/>
          <w:numId w:val="1001"/>
        </w:numPr>
      </w:pPr>
      <w:r>
        <w:t xml:space="preserve">Anjana RM, Unnikrishnan R, Deepa M, Pradeepa R, Tandon N, Das AK, et al. Metabolic non-communicable disease health report of India: the ICMR-INDIAB national cross-sectional study (ICMR-INDIAB-17). Lancet Diabetes Endocrinol. 2023;11(7):474–89. https://doi.org/10.1016/S2213-8587(23)00119-5.</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2026-06-12T15:51:10Z</dcterms:created>
  <dcterms:modified xsi:type="dcterms:W3CDTF">2026-06-12T15:51:10Z</dcterms:modified>
</cp:coreProperties>
</file>

<file path=docProps/custom.xml><?xml version="1.0" encoding="utf-8"?>
<Properties xmlns="http://schemas.openxmlformats.org/officeDocument/2006/custom-properties" xmlns:vt="http://schemas.openxmlformats.org/officeDocument/2006/docPropsVTypes"/>
</file>