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Figures</w:t>
      </w:r>
    </w:p>
    <w:p>
      <w:pPr>
        <w:jc w:val="both"/>
      </w:pPr>
      <w:r>
        <w:rPr>
          <w:rFonts w:ascii="Times New Roman" w:hAnsi="Times New Roman"/>
        </w:rPr>
        <w:t>Figure 1. State-level DEAI ranking across Indian states/UTs using LASI Wave 1 public indicators.</w:t>
      </w:r>
    </w:p>
    <w:p>
      <w:r>
        <w:drawing>
          <wp:inline xmlns:a="http://schemas.openxmlformats.org/drawingml/2006/main" xmlns:pic="http://schemas.openxmlformats.org/drawingml/2006/picture">
            <wp:extent cx="5303520" cy="6357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1_state_deai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5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/>
        </w:rPr>
        <w:t>Figure 2. Scatter plots of state-level DEAI against ageing outcomes.</w:t>
      </w:r>
    </w:p>
    <w:p>
      <w:r>
        <w:drawing>
          <wp:inline xmlns:a="http://schemas.openxmlformats.org/drawingml/2006/main" xmlns:pic="http://schemas.openxmlformats.org/drawingml/2006/picture">
            <wp:extent cx="5303520" cy="3484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2_deai_outcome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/>
        </w:rPr>
        <w:t>Figure 3. Karnataka exposome profile compared with the India national LASI estimate.</w:t>
      </w:r>
    </w:p>
    <w:p>
      <w:r>
        <w:drawing>
          <wp:inline xmlns:a="http://schemas.openxmlformats.org/drawingml/2006/main" xmlns:pic="http://schemas.openxmlformats.org/drawingml/2006/picture">
            <wp:extent cx="5303520" cy="215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3_karnataka_exposome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/>
        </w:rPr>
        <w:t>Figure 4. Heatmap of Spearman correlations between DEAI components and ageing outcomes.</w:t>
      </w:r>
    </w:p>
    <w:p>
      <w:r>
        <w:drawing>
          <wp:inline xmlns:a="http://schemas.openxmlformats.org/drawingml/2006/main" xmlns:pic="http://schemas.openxmlformats.org/drawingml/2006/picture">
            <wp:extent cx="5303520" cy="2761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4_exposome_outcom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1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