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ca1fc5fea4cd951163d30c91df1e720613a49e"/>
    <w:p>
      <w:pPr>
        <w:pStyle w:val="Heading1"/>
      </w:pPr>
      <w:r>
        <w:t xml:space="preserve">STROBE Checklist for Cross-Sectional Studies</w:t>
      </w:r>
    </w:p>
    <w:p>
      <w:pPr>
        <w:pStyle w:val="FirstParagraph"/>
      </w:pPr>
      <w:r>
        <w:t xml:space="preserve">This manuscript reports a cross-sectional secondary analysis of LASI Wave 1. The table below maps all 22 STROBE items to the section (and, where useful, the paragraph) of</w:t>
      </w:r>
      <w:r>
        <w:t xml:space="preserve"> </w:t>
      </w:r>
      <w:r>
        <w:rPr>
          <w:rStyle w:val="VerbatimChar"/>
        </w:rPr>
        <w:t xml:space="preserve">_manuscript.md</w:t>
      </w:r>
      <w:r>
        <w:t xml:space="preserve"> </w:t>
      </w:r>
      <w:r>
        <w:t xml:space="preserve">where each is addressed.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Section of manuscript</w:t>
            </w:r>
          </w:p>
        </w:tc>
        <w:tc>
          <w:tcPr/>
          <w:p>
            <w:pPr>
              <w:pStyle w:val="Compact"/>
            </w:pPr>
            <w:r>
              <w:t xml:space="preserve">How it is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Title identifies the study design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“Catastrophic spending, impoverishment, and the hidden cost of family care”</w:t>
            </w:r>
            <w:r>
              <w:t xml:space="preserve"> </w:t>
            </w:r>
            <w:r>
              <w:t xml:space="preserve">signals a descriptive, cross-sectional economic analysis; design is named explicitly in the Methods.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Abstract gives an informative summary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States population, design, the three catastrophic-expenditure thresholds, impoverishment, equity decomposition, drivers, caregiving valuation, microsimulation, and headline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Background/rationale</w:t>
            </w:r>
          </w:p>
        </w:tc>
        <w:tc>
          <w:tcPr/>
          <w:p>
            <w:pPr>
              <w:pStyle w:val="Compact"/>
            </w:pPr>
            <w:r>
              <w:t xml:space="preserve">Introduction, paragraphs 1-3</w:t>
            </w:r>
          </w:p>
        </w:tc>
        <w:tc>
          <w:tcPr/>
          <w:p>
            <w:pPr>
              <w:pStyle w:val="Compact"/>
            </w:pPr>
            <w:r>
              <w:t xml:space="preserve">Sets out the PM-JAY inpatient-cover assumption, the routine/outpatient nature of late-life illness cost, and India’s ageing trajectory.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Introduction, final paragraph</w:t>
            </w:r>
          </w:p>
        </w:tc>
        <w:tc>
          <w:tcPr/>
          <w:p>
            <w:pPr>
              <w:pStyle w:val="Compact"/>
            </w:pPr>
            <w:r>
              <w:t xml:space="preserve">States the six linked research questions (catastrophic burden, impoverishment, distributional fairness, drivers, value of unpaid care, and which reform buys most protection).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“Data and population”</w:t>
            </w:r>
          </w:p>
        </w:tc>
        <w:tc>
          <w:tcPr/>
          <w:p>
            <w:pPr>
              <w:pStyle w:val="Compact"/>
            </w:pPr>
            <w:r>
              <w:t xml:space="preserve">Identifies LASI Wave 1 as a cross-sectional, nationally representative survey (2017-18) and the secondary, observational nature of the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“Data and population”</w:t>
            </w:r>
          </w:p>
        </w:tc>
        <w:tc>
          <w:tcPr/>
          <w:p>
            <w:pPr>
              <w:pStyle w:val="Compact"/>
            </w:pPr>
            <w:r>
              <w:t xml:space="preserve">India; LASI Wave 1, 2017-18, accessed via the Gateway to Global Aging harmonised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</w:t>
            </w:r>
          </w:p>
        </w:tc>
        <w:tc>
          <w:tcPr/>
          <w:p>
            <w:pPr>
              <w:pStyle w:val="Compact"/>
            </w:pPr>
            <w:r>
              <w:t xml:space="preserve">Eligibility criteria, participants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“Data and population”</w:t>
            </w:r>
          </w:p>
        </w:tc>
        <w:tc>
          <w:tcPr/>
          <w:p>
            <w:pPr>
              <w:pStyle w:val="Compact"/>
            </w:pPr>
            <w:r>
              <w:t xml:space="preserve">Adults aged 60 and over (n=31,766) as the primary analytic sample; the full sample aged 45 and over reported as a sensitivity 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Matching criteria (if applicable)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No matched-groups design is used; noted here for completeness.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Variables (outcomes, exposures, predictors, confounders)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“Spending and capacity to pay”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“Outcomes”</w:t>
            </w:r>
          </w:p>
        </w:tc>
        <w:tc>
          <w:tcPr/>
          <w:p>
            <w:pPr>
              <w:pStyle w:val="Compact"/>
            </w:pPr>
            <w:r>
              <w:t xml:space="preserve">Defines out-of-pocket spending, capacity to pay (non-food consumption), the three CHE thresholds, impoverishment, and the predictor set used in the equity decomposition and driver models (rural residence, multimorbidity, functional limitation, age, sex, education, pension).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sources/measurement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“Spending and capacity to pay”</w:t>
            </w:r>
          </w:p>
        </w:tc>
        <w:tc>
          <w:tcPr/>
          <w:p>
            <w:pPr>
              <w:pStyle w:val="Compact"/>
            </w:pPr>
            <w:r>
              <w:t xml:space="preserve">Describes household-level annualised inpatient (previous year) and outpatient (previous month, scaled) spending, and deflation to constant 2017 rupees using the survey’s consumer price indices.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Discussion,</w:t>
            </w:r>
            <w:r>
              <w:t xml:space="preserve"> </w:t>
            </w:r>
            <w:r>
              <w:t xml:space="preserve">“Limitations”</w:t>
            </w:r>
          </w:p>
        </w:tc>
        <w:tc>
          <w:tcPr/>
          <w:p>
            <w:pPr>
              <w:pStyle w:val="Compact"/>
            </w:pPr>
            <w:r>
              <w:t xml:space="preserve">Discusses self-report and recall bias, under-capture of standalone pharmacy purchases, and states why this makes the central comparison conservative rather than overstated.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Study size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“Data and population”</w:t>
            </w:r>
          </w:p>
        </w:tc>
        <w:tc>
          <w:tcPr/>
          <w:p>
            <w:pPr>
              <w:pStyle w:val="Compact"/>
            </w:pPr>
            <w:r>
              <w:t xml:space="preserve">States n=31,766 for the 60+ analytic sample; the manuscript text does not give a separate numeric n for the 45+ sensitivity frame (see Supplementary S2, flagged as a gap to fill before submission).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Quantitative variables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“Outcomes”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“Drivers and valuation”</w:t>
            </w:r>
          </w:p>
        </w:tc>
        <w:tc>
          <w:tcPr/>
          <w:p>
            <w:pPr>
              <w:pStyle w:val="Compact"/>
            </w:pPr>
            <w:r>
              <w:t xml:space="preserve">Explains the three CHE thresholds, the poverty-line comparison for impoverishment, and how continuous predictors (age, education) and binary predictors (rural, multimorbidity, functional limitation, pension) enter the models.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12a</w:t>
            </w:r>
          </w:p>
        </w:tc>
        <w:tc>
          <w:tcPr/>
          <w:p>
            <w:pPr>
              <w:pStyle w:val="Compact"/>
            </w:pPr>
            <w:r>
              <w:t xml:space="preserve">Statistical methods, all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“Outcomes”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“Drivers and valuation”</w:t>
            </w:r>
          </w:p>
        </w:tc>
        <w:tc>
          <w:tcPr/>
          <w:p>
            <w:pPr>
              <w:pStyle w:val="Compact"/>
            </w:pPr>
            <w:r>
              <w:t xml:space="preserve">Describes the concentration index, the Erreygers correction, the two-part model (logistic, then gamma with log link), and the gradient-boosting/SHAP approach.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12b</w:t>
            </w:r>
          </w:p>
        </w:tc>
        <w:tc>
          <w:tcPr/>
          <w:p>
            <w:pPr>
              <w:pStyle w:val="Compact"/>
            </w:pPr>
            <w:r>
              <w:t xml:space="preserve">Methods for subgroups/interactions</w:t>
            </w:r>
          </w:p>
        </w:tc>
        <w:tc>
          <w:tcPr/>
          <w:p>
            <w:pPr>
              <w:pStyle w:val="Compact"/>
            </w:pPr>
            <w:r>
              <w:t xml:space="preserve">Results,</w:t>
            </w:r>
            <w:r>
              <w:t xml:space="preserve"> </w:t>
            </w:r>
            <w:r>
              <w:t xml:space="preserve">“A burden that is common, and largely outpatient”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“Spending that pushes families into poverty”</w:t>
            </w:r>
          </w:p>
        </w:tc>
        <w:tc>
          <w:tcPr/>
          <w:p>
            <w:pPr>
              <w:pStyle w:val="Compact"/>
            </w:pPr>
            <w:r>
              <w:t xml:space="preserve">Reports estimates by age band (60+, 70+), sex, rural/urban residence, and multimorbidity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12c</w:t>
            </w:r>
          </w:p>
        </w:tc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“Data and population”</w:t>
            </w:r>
          </w:p>
        </w:tc>
        <w:tc>
          <w:tcPr/>
          <w:p>
            <w:pPr>
              <w:pStyle w:val="Compact"/>
            </w:pPr>
            <w:r>
              <w:t xml:space="preserve">The manuscript does not include an explicit missing-data statement; survey person-level weights are applied throughout, which is the only missing-data-adjacent detail given. Recommend the author add one sentence on how missing values in spending, consumption or covariates were handled before final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12d</w:t>
            </w:r>
          </w:p>
        </w:tc>
        <w:tc>
          <w:tcPr/>
          <w:p>
            <w:pPr>
              <w:pStyle w:val="Compact"/>
            </w:pPr>
            <w:r>
              <w:t xml:space="preserve">Sampling strategy (if applicable)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“Data and population”</w:t>
            </w:r>
          </w:p>
        </w:tc>
        <w:tc>
          <w:tcPr/>
          <w:p>
            <w:pPr>
              <w:pStyle w:val="Compact"/>
            </w:pPr>
            <w:r>
              <w:t xml:space="preserve">LASI Wave 1’s nationally representative sampling design and person-level weights are used for all estimates.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12e</w:t>
            </w:r>
          </w:p>
        </w:tc>
        <w:tc>
          <w:tcPr/>
          <w:p>
            <w:pPr>
              <w:pStyle w:val="Compact"/>
            </w:pPr>
            <w:r>
              <w:t xml:space="preserve">Sensitivity analyses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“Data and population”</w:t>
            </w:r>
            <w:r>
              <w:t xml:space="preserve">; Discussion,</w:t>
            </w:r>
            <w:r>
              <w:t xml:space="preserve"> </w:t>
            </w:r>
            <w:r>
              <w:t xml:space="preserve">“Limitations”</w:t>
            </w:r>
          </w:p>
        </w:tc>
        <w:tc>
          <w:tcPr/>
          <w:p>
            <w:pPr>
              <w:pStyle w:val="Compact"/>
            </w:pPr>
            <w:r>
              <w:t xml:space="preserve">The 45+ sensitivity sample is specified in Methods; the conservative direction of the outpatient under-capture is discussed as a sensitivity consideration in Limitations.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13a</w:t>
            </w:r>
          </w:p>
        </w:tc>
        <w:tc>
          <w:tcPr/>
          <w:p>
            <w:pPr>
              <w:pStyle w:val="Compact"/>
            </w:pPr>
            <w:r>
              <w:t xml:space="preserve">Participants — numbers at each stage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“Data and population”</w:t>
            </w:r>
          </w:p>
        </w:tc>
        <w:tc>
          <w:tcPr/>
          <w:p>
            <w:pPr>
              <w:pStyle w:val="Compact"/>
            </w:pPr>
            <w:r>
              <w:t xml:space="preserve">States the LASI Wave 1 sampling frame and the 60+ analytic subset (n=31,766); no further exclusion stages apply to this secondary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13b</w:t>
            </w:r>
          </w:p>
        </w:tc>
        <w:tc>
          <w:tcPr/>
          <w:p>
            <w:pPr>
              <w:pStyle w:val="Compact"/>
            </w:pPr>
            <w:r>
              <w:t xml:space="preserve">Reasons for non-participation</w:t>
            </w:r>
          </w:p>
        </w:tc>
        <w:tc>
          <w:tcPr/>
          <w:p>
            <w:pPr>
              <w:pStyle w:val="Compact"/>
            </w:pPr>
            <w:r>
              <w:t xml:space="preserve">Not applicable in this secondary analysis</w:t>
            </w:r>
          </w:p>
        </w:tc>
        <w:tc>
          <w:tcPr/>
          <w:p>
            <w:pPr>
              <w:pStyle w:val="Compact"/>
            </w:pPr>
            <w:r>
              <w:t xml:space="preserve">Original-survey non-response is governed by the LASI study design, cited via reference 4; not re-derived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13c</w:t>
            </w:r>
          </w:p>
        </w:tc>
        <w:tc>
          <w:tcPr/>
          <w:p>
            <w:pPr>
              <w:pStyle w:val="Compact"/>
            </w:pPr>
            <w:r>
              <w:t xml:space="preserve">Flow diagram (if applicable)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A participant flow diagram is not required for this single-stage secondary analysis of an existing survey sample.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14a</w:t>
            </w:r>
          </w:p>
        </w:tc>
        <w:tc>
          <w:tcPr/>
          <w:p>
            <w:pPr>
              <w:pStyle w:val="Compact"/>
            </w:pPr>
            <w:r>
              <w:t xml:space="preserve">Descriptive data</w:t>
            </w:r>
          </w:p>
        </w:tc>
        <w:tc>
          <w:tcPr/>
          <w:p>
            <w:pPr>
              <w:pStyle w:val="Compact"/>
            </w:pPr>
            <w:r>
              <w:t xml:space="preserve">Results,</w:t>
            </w:r>
            <w:r>
              <w:t xml:space="preserve"> </w:t>
            </w:r>
            <w:r>
              <w:t xml:space="preserve">“A burden that is common, and largely outpatient”</w:t>
            </w:r>
            <w:r>
              <w:t xml:space="preserve"> </w:t>
            </w:r>
            <w:r>
              <w:t xml:space="preserve">(Table 1)</w:t>
            </w:r>
          </w:p>
        </w:tc>
        <w:tc>
          <w:tcPr/>
          <w:p>
            <w:pPr>
              <w:pStyle w:val="Compact"/>
            </w:pPr>
            <w:r>
              <w:t xml:space="preserve">Reports sample characteristics: sex, rural residence, multimorbidity, functional limitation, living alone, pension receipt, and out-of-pocket spending distribution.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14b</w:t>
            </w:r>
          </w:p>
        </w:tc>
        <w:tc>
          <w:tcPr/>
          <w:p>
            <w:pPr>
              <w:pStyle w:val="Compact"/>
            </w:pPr>
            <w:r>
              <w:t xml:space="preserve">Outcome data</w:t>
            </w:r>
          </w:p>
        </w:tc>
        <w:tc>
          <w:tcPr/>
          <w:p>
            <w:pPr>
              <w:pStyle w:val="Compact"/>
            </w:pPr>
            <w:r>
              <w:t xml:space="preserve">Results (Tables 2-3; Figures 1, 3)</w:t>
            </w:r>
          </w:p>
        </w:tc>
        <w:tc>
          <w:tcPr/>
          <w:p>
            <w:pPr>
              <w:pStyle w:val="Compact"/>
            </w:pPr>
            <w:r>
              <w:t xml:space="preserve">Reports CHE prevalence at three thresholds and pre/post-payment poverty.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14c</w:t>
            </w:r>
          </w:p>
        </w:tc>
        <w:tc>
          <w:tcPr/>
          <w:p>
            <w:pPr>
              <w:pStyle w:val="Compact"/>
            </w:pPr>
            <w:r>
              <w:t xml:space="preserve">Summary of follow-up time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Cross-sectional design; no follow-up period to report.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Outcome/exposure numbers or summary measures</w:t>
            </w:r>
          </w:p>
        </w:tc>
        <w:tc>
          <w:tcPr/>
          <w:p>
            <w:pPr>
              <w:pStyle w:val="Compact"/>
            </w:pPr>
            <w:r>
              <w:t xml:space="preserve">Results, all subsections (Tables 2-6; Figures 1-6)</w:t>
            </w:r>
          </w:p>
        </w:tc>
        <w:tc>
          <w:tcPr/>
          <w:p>
            <w:pPr>
              <w:pStyle w:val="Compact"/>
            </w:pPr>
            <w:r>
              <w:t xml:space="preserve">Gives weighted percentages, overshoot amounts, the concentration and Erreygers indices, model coefficients/odds ratios, SHAP importances, caregiving values and microsimulation deltas.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16a</w:t>
            </w:r>
          </w:p>
        </w:tc>
        <w:tc>
          <w:tcPr/>
          <w:p>
            <w:pPr>
              <w:pStyle w:val="Compact"/>
            </w:pPr>
            <w:r>
              <w:t xml:space="preserve">Unadjusted and adjusted estimates with precision</w:t>
            </w:r>
          </w:p>
        </w:tc>
        <w:tc>
          <w:tcPr/>
          <w:p>
            <w:pPr>
              <w:pStyle w:val="Compact"/>
            </w:pPr>
            <w:r>
              <w:t xml:space="preserve">Results,</w:t>
            </w:r>
            <w:r>
              <w:t xml:space="preserve"> </w:t>
            </w:r>
            <w:r>
              <w:t xml:space="preserve">“What drives catastrophic spending”</w:t>
            </w:r>
            <w:r>
              <w:t xml:space="preserve"> </w:t>
            </w:r>
            <w:r>
              <w:t xml:space="preserve">(Table 5)</w:t>
            </w:r>
          </w:p>
        </w:tc>
        <w:tc>
          <w:tcPr/>
          <w:p>
            <w:pPr>
              <w:pStyle w:val="Compact"/>
            </w:pPr>
            <w:r>
              <w:t xml:space="preserve">Reports two-part model odds ratios and exponentiated coefficients with 95% confidence intervals and p-values for each predictor.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16b</w:t>
            </w:r>
          </w:p>
        </w:tc>
        <w:tc>
          <w:tcPr/>
          <w:p>
            <w:pPr>
              <w:pStyle w:val="Compact"/>
            </w:pPr>
            <w:r>
              <w:t xml:space="preserve">Category boundaries for continuous variables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t xml:space="preserve">“Outcomes”</w:t>
            </w:r>
          </w:p>
        </w:tc>
        <w:tc>
          <w:tcPr/>
          <w:p>
            <w:pPr>
              <w:pStyle w:val="Compact"/>
            </w:pPr>
            <w:r>
              <w:t xml:space="preserve">States the 10%, 25% and 40% thresholds explicitly; multimorbidity is defined as two or more chronic conditions.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16c</w:t>
            </w:r>
          </w:p>
        </w:tc>
        <w:tc>
          <w:tcPr/>
          <w:p>
            <w:pPr>
              <w:pStyle w:val="Compact"/>
            </w:pPr>
            <w:r>
              <w:t xml:space="preserve">Translation of relative risk to absolute risk (if relevant)</w:t>
            </w:r>
          </w:p>
        </w:tc>
        <w:tc>
          <w:tcPr/>
          <w:p>
            <w:pPr>
              <w:pStyle w:val="Compact"/>
            </w:pPr>
            <w:r>
              <w:t xml:space="preserve">Results,</w:t>
            </w:r>
            <w:r>
              <w:t xml:space="preserve"> </w:t>
            </w:r>
            <w:r>
              <w:t xml:space="preserve">“What reform would buy”</w:t>
            </w:r>
          </w:p>
        </w:tc>
        <w:tc>
          <w:tcPr/>
          <w:p>
            <w:pPr>
              <w:pStyle w:val="Compact"/>
            </w:pPr>
            <w:r>
              <w:t xml:space="preserve">Reports microsimulation impacts as percentage-point changes alongside fiscal cost, allowing direct absolute comparison across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Other analyses (subgroup, sensitivity, interaction)</w:t>
            </w:r>
          </w:p>
        </w:tc>
        <w:tc>
          <w:tcPr/>
          <w:p>
            <w:pPr>
              <w:pStyle w:val="Compact"/>
            </w:pPr>
            <w:r>
              <w:t xml:space="preserve">Results,</w:t>
            </w:r>
            <w:r>
              <w:t xml:space="preserve"> </w:t>
            </w:r>
            <w:r>
              <w:t xml:space="preserve">“Who carries the burden”</w:t>
            </w:r>
            <w:r>
              <w:t xml:space="preserve">; Discussion</w:t>
            </w:r>
          </w:p>
        </w:tc>
        <w:tc>
          <w:tcPr/>
          <w:p>
            <w:pPr>
              <w:pStyle w:val="Compact"/>
            </w:pPr>
            <w:r>
              <w:t xml:space="preserve">Reports the concentration-index decomposition (Table 4) and the rural/multimorbidity subgroup findings as planned secondary analyses.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Key results</w:t>
            </w:r>
          </w:p>
        </w:tc>
        <w:tc>
          <w:tcPr/>
          <w:p>
            <w:pPr>
              <w:pStyle w:val="Compact"/>
            </w:pPr>
            <w:r>
              <w:t xml:space="preserve">Discussion, paragraph 1</w:t>
            </w:r>
          </w:p>
        </w:tc>
        <w:tc>
          <w:tcPr/>
          <w:p>
            <w:pPr>
              <w:pStyle w:val="Compact"/>
            </w:pPr>
            <w:r>
              <w:t xml:space="preserve">Summarises the central finding: inpatient cover removes a fraction of the catastrophic spending that outpatient/medicine cover would remove.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Discussion,</w:t>
            </w:r>
            <w:r>
              <w:t xml:space="preserve"> </w:t>
            </w:r>
            <w:r>
              <w:t xml:space="preserve">“Limitations”</w:t>
            </w:r>
          </w:p>
        </w:tc>
        <w:tc>
          <w:tcPr/>
          <w:p>
            <w:pPr>
              <w:pStyle w:val="Compact"/>
            </w:pPr>
            <w:r>
              <w:t xml:space="preserve">Addresses cross-sectional design, self-report, outpatient under-capture, the non-causal nature of the machine-learning results, the static and full-uptake assumptions of the microsimulation, and the assumed care-worker wage.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Discussion, paragraphs 1-3</w:t>
            </w:r>
          </w:p>
        </w:tc>
        <w:tc>
          <w:tcPr/>
          <w:p>
            <w:pPr>
              <w:pStyle w:val="Compact"/>
            </w:pPr>
            <w:r>
              <w:t xml:space="preserve">Interprets the inpatient/outpatient gap, the rural equity pattern, the scale of unpaid care, and the complementary roles of pensions and service cover.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Generalisability</w:t>
            </w:r>
          </w:p>
        </w:tc>
        <w:tc>
          <w:tcPr/>
          <w:p>
            <w:pPr>
              <w:pStyle w:val="Compact"/>
            </w:pPr>
            <w:r>
              <w:t xml:space="preserve">Discussion, paragraph 1; Methods,</w:t>
            </w:r>
            <w:r>
              <w:t xml:space="preserve"> </w:t>
            </w:r>
            <w:r>
              <w:t xml:space="preserve">“Data and population”</w:t>
            </w:r>
          </w:p>
        </w:tc>
        <w:tc>
          <w:tcPr/>
          <w:p>
            <w:pPr>
              <w:pStyle w:val="Compact"/>
            </w:pPr>
            <w:r>
              <w:t xml:space="preserve">LASI Wave 1’s nationally representative design supports generalisation to older Indians as a whole; the manuscript reports rural/urban heterogeneity explicitly but does not discuss state-level generalisability, which is a gap for the author to consider addressing.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Declarations (</w:t>
            </w:r>
            <w:r>
              <w:rPr>
                <w:rStyle w:val="VerbatimChar"/>
              </w:rPr>
              <w:t xml:space="preserve">_declarations.md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States that no external funding was received for this work.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Item 6b (matching criteria) and item 13c (flow diagram) are marked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because this is a non-matched, single-stage secondary analysis of an existing cross-sectional survey rather than a study with its own recruitment and exclusion pipeline.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2026-06-26T05:39:37Z</dcterms:created>
  <dcterms:modified xsi:type="dcterms:W3CDTF">2026-06-26T05:39:37Z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