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gure-legends"/>
    <w:p>
      <w:pPr>
        <w:pStyle w:val="Heading1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 Catastrophic health spending among older Indians, by threshold and age group.</w:t>
      </w:r>
      <w:r>
        <w:t xml:space="preserve"> </w:t>
      </w:r>
      <w:r>
        <w:t xml:space="preserve">Weighted percentage of households aged 60 and over exceeding three catastrophic-expenditure thresholds — more than 10% and more than 25% of total household consumption, and more than 40% of capacity to pay (non-food consumption) — compared with the subgroup aged 70 and over. All values are survey-weighted.</w:t>
      </w:r>
    </w:p>
    <w:p>
      <w:pPr>
        <w:pStyle w:val="BodyText"/>
      </w:pPr>
      <w:r>
        <w:rPr>
          <w:b/>
          <w:bCs/>
        </w:rPr>
        <w:t xml:space="preserve">Figure 2. Concentration curve for catastrophic health expenditure.</w:t>
      </w:r>
      <w:r>
        <w:t xml:space="preserve"> </w:t>
      </w:r>
      <w:r>
        <w:t xml:space="preserve">The cumulative weighted share of households with catastrophic spending (CHE40cap, y-axis) plotted against the cumulative weighted population share (x-axis), households ranked from poorest to richest by per-capita consumption. The dashed line marks perfect equality; the curve lying below it corresponds to the positive concentration index (+0.090) reported in Table 4, indicating that catastrophic spending is, in aggregate, mildly concentrated among better-off households. Values are survey-weighted.</w:t>
      </w:r>
    </w:p>
    <w:p>
      <w:pPr>
        <w:pStyle w:val="BodyText"/>
      </w:pPr>
      <w:r>
        <w:rPr>
          <w:b/>
          <w:bCs/>
        </w:rPr>
        <w:t xml:space="preserve">Figure 3. Medical spending pushes older people below the poverty line.</w:t>
      </w:r>
      <w:r>
        <w:t xml:space="preserve"> </w:t>
      </w:r>
      <w:r>
        <w:t xml:space="preserve">Weighted percentage of older adults below the poverty line before and after subtracting out-of-pocket health spending, for the full sample and by sex and residence. Bars are annotated with the impoverishment headcount (the post-minus-pre percentage-point increase), which is largest in rural households (+6.8 pp) and smallest in urban households (+3.4 pp). Values are survey-weighted.</w:t>
      </w:r>
    </w:p>
    <w:p>
      <w:pPr>
        <w:pStyle w:val="BodyText"/>
      </w:pPr>
      <w:r>
        <w:rPr>
          <w:b/>
          <w:bCs/>
        </w:rPr>
        <w:t xml:space="preserve">Figure 4. What predicts catastrophic spending: SHAP importance from the gradient-boosting model.</w:t>
      </w:r>
      <w:r>
        <w:t xml:space="preserve"> </w:t>
      </w:r>
      <w:r>
        <w:t xml:space="preserve">Mean absolute SHAP (SHapley Additive exPlanations) value for each predictor of catastrophic health expenditure (CHE40cap). Rural residence ranks first, ahead of multimorbidity and functional limitation; age, education, sex and pension status contribute markedly less. SHAP values describe predictive contribution, not causal effect.</w:t>
      </w:r>
    </w:p>
    <w:p>
      <w:pPr>
        <w:pStyle w:val="BodyText"/>
      </w:pPr>
      <w:r>
        <w:rPr>
          <w:b/>
          <w:bCs/>
        </w:rPr>
        <w:t xml:space="preserve">Figure 5. Financial-protection impact of four financing scenarios.</w:t>
      </w:r>
      <w:r>
        <w:t xml:space="preserve"> </w:t>
      </w:r>
      <w:r>
        <w:t xml:space="preserve">Percentage-point change in catastrophic health expenditure (CHE40cap and CHE10) under each microsimulation scenario, with fiscal cost (Rs crore) annotated below each bar: full inpatient cover for those aged 70 and over (S1, approximating the PM-JAY expansion); full outpatient and medicine cover for all those aged 60 and over (S2); a Rs 500 monthly pension top-up (S3); and the three combined (S4). All scenarios assume full coverage and complete reimbursement and represent upper-bound ceilings rather than realistic programme costings.</w:t>
      </w:r>
    </w:p>
    <w:p>
      <w:pPr>
        <w:pStyle w:val="BodyText"/>
      </w:pPr>
      <w:r>
        <w:rPr>
          <w:b/>
          <w:bCs/>
        </w:rPr>
        <w:t xml:space="preserve">Figure 6. The hidden economy of unpaid elder care.</w:t>
      </w:r>
      <w:r>
        <w:t xml:space="preserve"> </w:t>
      </w:r>
      <w:r>
        <w:t xml:space="preserve">Left bar: the national annual replacement-cost value of unpaid family caregiving for older adults (Rs 1,29,117 crore), based on 12.2% of older adults receiving a mean of 13.9 hours of informal care per week, valued at Rs 71,000 per recipient per year. Right bar, shown for scale: the fiscal cost of the combined financing scenario (S4) from Figure 5 (Rs 4,35,527 crore).</w:t>
      </w:r>
    </w:p>
    <w:p>
      <w:pPr>
        <w:pStyle w:val="BodyText"/>
      </w:pPr>
      <w:r>
        <w:rPr>
          <w:i/>
          <w:iCs/>
        </w:rPr>
        <w:t xml:space="preserve">All figures were generated at 600 dpi from the survey-weighted analysis described in the Methods; all reported values are survey-weighted unless stated otherwise.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2026-06-26T05:39:35Z</dcterms:created>
  <dcterms:modified xsi:type="dcterms:W3CDTF">2026-06-26T05:39:35Z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