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0df7415f01b7e661710fafb551e67a0f598319f"/>
    <w:p>
      <w:pPr>
        <w:pStyle w:val="Heading1"/>
      </w:pPr>
      <w:r>
        <w:t xml:space="preserve">Internal Double-Reviewer Critique and Author Response</w:t>
      </w:r>
    </w:p>
    <w:p>
      <w:pPr>
        <w:pStyle w:val="FirstParagraph"/>
      </w:pPr>
      <w:r>
        <w:rPr>
          <w:b/>
          <w:bCs/>
        </w:rPr>
        <w:t xml:space="preserve">Important note:</w:t>
      </w:r>
      <w:r>
        <w:t xml:space="preserve"> </w:t>
      </w:r>
      <w:r>
        <w:t xml:space="preserve">This is an internal pre-submission review exercise conducted by the author to stress-test the manuscript before sending it to MJDRDYPU. It is not an external journal peer review and carries no editorial weight.</w:t>
      </w:r>
    </w:p>
    <w:bookmarkStart w:id="9" w:name="X540e6e70c4027876944ec8781dc47cd5abf033e"/>
    <w:p>
      <w:pPr>
        <w:pStyle w:val="Heading2"/>
      </w:pPr>
      <w:r>
        <w:t xml:space="preserve">Reviewer A: Epidemiology and Health Economics</w:t>
      </w:r>
    </w:p>
    <w:p>
      <w:pPr>
        <w:pStyle w:val="FirstParagraph"/>
      </w:pPr>
      <w:r>
        <w:rPr>
          <w:b/>
          <w:bCs/>
        </w:rPr>
        <w:t xml:space="preserve">Recommendation:</w:t>
      </w:r>
      <w:r>
        <w:t xml:space="preserve"> </w:t>
      </w:r>
      <w:r>
        <w:t xml:space="preserve">Minor revision before submission.</w:t>
      </w:r>
    </w:p>
    <w:p>
      <w:pPr>
        <w:numPr>
          <w:ilvl w:val="0"/>
          <w:numId w:val="1001"/>
        </w:numPr>
      </w:pPr>
      <w:r>
        <w:rPr>
          <w:b/>
          <w:bCs/>
        </w:rPr>
        <w:t xml:space="preserve">Interpreting the concentration index.</w:t>
      </w:r>
      <w:r>
        <w:t xml:space="preserve"> </w:t>
      </w:r>
      <w:r>
        <w:t xml:space="preserve">A concentration index of +0.090 reads, on its own, as mildly reassuring — catastrophic spending is</w:t>
      </w:r>
      <w:r>
        <w:t xml:space="preserve"> </w:t>
      </w:r>
      <w:r>
        <w:t xml:space="preserve">“more common among the better-off.”</w:t>
      </w:r>
      <w:r>
        <w:t xml:space="preserve"> </w:t>
      </w:r>
      <w:r>
        <w:t xml:space="preserve">A reader skimming the abstract could come away thinking inequality is not much of a problem here, when the decomposition tells the opposite story for rural households.</w:t>
      </w:r>
      <w:r>
        <w:t xml:space="preserve"> </w:t>
      </w:r>
      <w:r>
        <w:rPr>
          <w:i/>
          <w:iCs/>
        </w:rPr>
        <w:t xml:space="preserve">Author response:</w:t>
      </w:r>
      <w:r>
        <w:t xml:space="preserve"> </w:t>
      </w:r>
      <w:r>
        <w:t xml:space="preserve">The manuscript already guards against this misreading. The Results section states explicitly that</w:t>
      </w:r>
      <w:r>
        <w:t xml:space="preserve"> </w:t>
      </w:r>
      <w:r>
        <w:t xml:space="preserve">“the mild overall figure… conceals a more uncomfortable pattern,”</w:t>
      </w:r>
      <w:r>
        <w:t xml:space="preserve"> </w:t>
      </w:r>
      <w:r>
        <w:t xml:space="preserve">and the Discussion repeats that</w:t>
      </w:r>
      <w:r>
        <w:t xml:space="preserve"> </w:t>
      </w:r>
      <w:r>
        <w:t xml:space="preserve">“the mildly pro-rich concentration index should not be read as reassurance.”</w:t>
      </w:r>
      <w:r>
        <w:t xml:space="preserve"> </w:t>
      </w:r>
      <w:r>
        <w:t xml:space="preserve">Table 4 and the supplementary decomposition (S3) show rural residence contributing roughly a quarter of the index in the pro-poor direction, which is the number a policy reader should actually act on. No further change is proposed beyond making sure Table 4’s footnote (now added in</w:t>
      </w:r>
      <w:r>
        <w:t xml:space="preserve"> </w:t>
      </w:r>
      <w:r>
        <w:rPr>
          <w:rStyle w:val="VerbatimChar"/>
        </w:rPr>
        <w:t xml:space="preserve">_tables.md</w:t>
      </w:r>
      <w:r>
        <w:t xml:space="preserve">) explains contribution sign in plain terms.</w:t>
      </w:r>
    </w:p>
    <w:p>
      <w:pPr>
        <w:numPr>
          <w:ilvl w:val="0"/>
          <w:numId w:val="1001"/>
        </w:numPr>
      </w:pPr>
      <w:r>
        <w:rPr>
          <w:b/>
          <w:bCs/>
        </w:rPr>
        <w:t xml:space="preserve">Medicines under-capture is a real measurement gap, not a footnote.</w:t>
      </w:r>
      <w:r>
        <w:t xml:space="preserve"> </w:t>
      </w:r>
      <w:r>
        <w:t xml:space="preserve">The household outpatient variable picks up medicines bought alongside a consultation or test, but older adults with stable chronic disease often refill prescriptions at a pharmacy with no accompanying visit in the recall window. If that spending is missed, the headline 16.1-percentage-point benefit of outpatient cover (Scenario S2) could itself be an underestimate, which is a stronger claim than</w:t>
      </w:r>
      <w:r>
        <w:t xml:space="preserve"> </w:t>
      </w:r>
      <w:r>
        <w:t xml:space="preserve">“the burden may be larger than we estimate.”</w:t>
      </w:r>
      <w:r>
        <w:t xml:space="preserve"> </w:t>
      </w:r>
      <w:r>
        <w:rPr>
          <w:i/>
          <w:iCs/>
        </w:rPr>
        <w:t xml:space="preserve">Author response:</w:t>
      </w:r>
      <w:r>
        <w:t xml:space="preserve"> </w:t>
      </w:r>
      <w:r>
        <w:t xml:space="preserve">Agreed, and the manuscript takes this seriously rather than treating it as a passing caveat. The Limitations paragraph states the direction explicitly: the true outpatient burden</w:t>
      </w:r>
      <w:r>
        <w:t xml:space="preserve"> </w:t>
      </w:r>
      <w:r>
        <w:t xml:space="preserve">“may be larger than we estimate; this makes our central comparison conservative rather than overstated.”</w:t>
      </w:r>
      <w:r>
        <w:t xml:space="preserve"> </w:t>
      </w:r>
      <w:r>
        <w:t xml:space="preserve">The supplementary material (S6) now spells out the mechanism — visit-linked versus standalone pharmacy purchases — so a reader can judge for themselves how large the gap might be. We stop short of producing a numerical correction because no validated standalone-pharmacy-spending instrument exists in this dataset; inventing one would trade a known limitation for an unverifiable adjustment.</w:t>
      </w:r>
    </w:p>
    <w:p>
      <w:pPr>
        <w:numPr>
          <w:ilvl w:val="0"/>
          <w:numId w:val="1001"/>
        </w:numPr>
      </w:pPr>
      <w:r>
        <w:rPr>
          <w:b/>
          <w:bCs/>
        </w:rPr>
        <w:t xml:space="preserve">Causal language around the gradient-boosting/SHAP results.</w:t>
      </w:r>
      <w:r>
        <w:t xml:space="preserve"> </w:t>
      </w:r>
      <w:r>
        <w:t xml:space="preserve">SHAP importance is a ranking of predictive contribution within one fitted model, not an effect size, and</w:t>
      </w:r>
      <w:r>
        <w:t xml:space="preserve"> </w:t>
      </w:r>
      <w:r>
        <w:t xml:space="preserve">“rural residence was the single strongest predictor”</w:t>
      </w:r>
      <w:r>
        <w:t xml:space="preserve"> </w:t>
      </w:r>
      <w:r>
        <w:t xml:space="preserve">can drift toward causal phrasing if read quickly.</w:t>
      </w:r>
      <w:r>
        <w:t xml:space="preserve"> </w:t>
      </w:r>
      <w:r>
        <w:rPr>
          <w:i/>
          <w:iCs/>
        </w:rPr>
        <w:t xml:space="preserve">Author response:</w:t>
      </w:r>
      <w:r>
        <w:t xml:space="preserve"> </w:t>
      </w:r>
      <w:r>
        <w:t xml:space="preserve">The manuscript flags this directly at first mention in Methods (</w:t>
      </w:r>
      <w:r>
        <w:t xml:space="preserve">“this is a predictive exercise, not a causal one”</w:t>
      </w:r>
      <w:r>
        <w:t xml:space="preserve">) and again in Discussion limitations (</w:t>
      </w:r>
      <w:r>
        <w:t xml:space="preserve">“the machine-learning results describe prediction, not cause”</w:t>
      </w:r>
      <w:r>
        <w:t xml:space="preserve">). The two-part model is reported alongside SHAP precisely so that the manuscript’s substantive claims about drivers rest on regression coefficients with confidence intervals, not on SHAP rankings alone; SHAP is used to corroborate which variables matter, not to establish effect size.</w:t>
      </w:r>
    </w:p>
    <w:p>
      <w:pPr>
        <w:numPr>
          <w:ilvl w:val="0"/>
          <w:numId w:val="1001"/>
        </w:numPr>
      </w:pPr>
      <w:r>
        <w:rPr>
          <w:b/>
          <w:bCs/>
        </w:rPr>
        <w:t xml:space="preserve">Cross-sectional design and the impoverishment estimate.</w:t>
      </w:r>
      <w:r>
        <w:t xml:space="preserve"> </w:t>
      </w:r>
      <w:r>
        <w:t xml:space="preserve">A single cross-sectional impoverishment headcount (5.8 percentage points) is a snapshot, not a measure of how many households are pushed into poverty repeatedly or permanently versus transiently.</w:t>
      </w:r>
      <w:r>
        <w:t xml:space="preserve"> </w:t>
      </w:r>
      <w:r>
        <w:rPr>
          <w:i/>
          <w:iCs/>
        </w:rPr>
        <w:t xml:space="preserve">Author response:</w:t>
      </w:r>
      <w:r>
        <w:t xml:space="preserve"> </w:t>
      </w:r>
      <w:r>
        <w:t xml:space="preserve">Correct, and the manuscript is careful to use the word</w:t>
      </w:r>
      <w:r>
        <w:t xml:space="preserve"> </w:t>
      </w:r>
      <w:r>
        <w:t xml:space="preserve">“impoverishment”</w:t>
      </w:r>
      <w:r>
        <w:t xml:space="preserve"> </w:t>
      </w:r>
      <w:r>
        <w:t xml:space="preserve">in its standard cross-sectional sense (the World Bank/WHO methodological convention cited in Methods), not as a claim about chronic poverty persistence. The Limitations paragraph states plainly that the data are cross-sectional and that the manuscript describes</w:t>
      </w:r>
      <w:r>
        <w:t xml:space="preserve"> </w:t>
      </w:r>
      <w:r>
        <w:t xml:space="preserve">“burden and association, not change over time.”</w:t>
      </w:r>
      <w:r>
        <w:t xml:space="preserve"> </w:t>
      </w:r>
      <w:r>
        <w:t xml:space="preserve">A longitudinal extension using later LASI waves is a natural next step but is outside the scope of this analysis.</w:t>
      </w:r>
    </w:p>
    <w:p>
      <w:pPr>
        <w:numPr>
          <w:ilvl w:val="0"/>
          <w:numId w:val="1001"/>
        </w:numPr>
      </w:pPr>
      <w:r>
        <w:rPr>
          <w:b/>
          <w:bCs/>
        </w:rPr>
        <w:t xml:space="preserve">The poverty line is survey-internal, and that should be visible, not buried.</w:t>
      </w:r>
      <w:r>
        <w:t xml:space="preserve"> </w:t>
      </w:r>
      <w:r>
        <w:t xml:space="preserve">Anchoring the poverty line to the survey’s own poverty indicator (Rs 18,307/year per capita) is a reasonable and transparent choice, but a reader unfamiliar with this convention might assume it is an externally validated official poverty line.</w:t>
      </w:r>
      <w:r>
        <w:t xml:space="preserve"> </w:t>
      </w:r>
      <w:r>
        <w:rPr>
          <w:i/>
          <w:iCs/>
        </w:rPr>
        <w:t xml:space="preserve">Author response:</w:t>
      </w:r>
      <w:r>
        <w:t xml:space="preserve"> </w:t>
      </w:r>
      <w:r>
        <w:t xml:space="preserve">The Methods section already states that</w:t>
      </w:r>
      <w:r>
        <w:t xml:space="preserve"> </w:t>
      </w:r>
      <w:r>
        <w:t xml:space="preserve">“the line was anchored to the survey’s own poverty measure,”</w:t>
      </w:r>
      <w:r>
        <w:t xml:space="preserve"> </w:t>
      </w:r>
      <w:r>
        <w:t xml:space="preserve">and the new Supplementary S1 spells out exactly how: a weighted per-capita-consumption quantile matched to the survey’s international poverty-line indicator among the 60+ sample. This is now stated as plainly as the source data allow.</w:t>
      </w:r>
    </w:p>
    <w:p>
      <w:pPr>
        <w:numPr>
          <w:ilvl w:val="0"/>
          <w:numId w:val="1001"/>
        </w:numPr>
      </w:pPr>
      <w:r>
        <w:rPr>
          <w:b/>
          <w:bCs/>
        </w:rPr>
        <w:t xml:space="preserve">Multimorbidity and education pulling the concentration index toward the better-off deserves one more sentence of nuance.</w:t>
      </w:r>
      <w:r>
        <w:t xml:space="preserve"> </w:t>
      </w:r>
      <w:r>
        <w:t xml:space="preserve">The Discussion attributes this to</w:t>
      </w:r>
      <w:r>
        <w:t xml:space="preserve"> </w:t>
      </w:r>
      <w:r>
        <w:t xml:space="preserve">“greater use of care where means and need allow,”</w:t>
      </w:r>
      <w:r>
        <w:t xml:space="preserve"> </w:t>
      </w:r>
      <w:r>
        <w:t xml:space="preserve">which is plausible but is an interpretation rather than something the decomposition itself proves.</w:t>
      </w:r>
      <w:r>
        <w:t xml:space="preserve"> </w:t>
      </w:r>
      <w:r>
        <w:rPr>
          <w:i/>
          <w:iCs/>
        </w:rPr>
        <w:t xml:space="preserve">Author response:</w:t>
      </w:r>
      <w:r>
        <w:t xml:space="preserve"> </w:t>
      </w:r>
      <w:r>
        <w:t xml:space="preserve">Fair distinction. The decomposition (Table 4, S3) shows the statistical contribution; the manuscript’s explanation of why multimorbid, better-educated and pensioned households spend more is offered as interpretation, signalled by phrasing such as</w:t>
      </w:r>
      <w:r>
        <w:t xml:space="preserve"> </w:t>
      </w:r>
      <w:r>
        <w:t xml:space="preserve">“consistent with”</w:t>
      </w:r>
      <w:r>
        <w:t xml:space="preserve"> </w:t>
      </w:r>
      <w:r>
        <w:t xml:space="preserve">rather than</w:t>
      </w:r>
      <w:r>
        <w:t xml:space="preserve"> </w:t>
      </w:r>
      <w:r>
        <w:t xml:space="preserve">“demonstrates.”</w:t>
      </w:r>
      <w:r>
        <w:t xml:space="preserve"> </w:t>
      </w:r>
      <w:r>
        <w:t xml:space="preserve">We have not altered this language further, since the Discussion already avoids asserting the mechanism as proven.</w:t>
      </w:r>
    </w:p>
    <w:bookmarkEnd w:id="9"/>
    <w:bookmarkStart w:id="10" w:name="reviewer-b-policy"/>
    <w:p>
      <w:pPr>
        <w:pStyle w:val="Heading2"/>
      </w:pPr>
      <w:r>
        <w:t xml:space="preserve">Reviewer B: Policy</w:t>
      </w:r>
    </w:p>
    <w:p>
      <w:pPr>
        <w:pStyle w:val="FirstParagraph"/>
      </w:pPr>
      <w:r>
        <w:rPr>
          <w:b/>
          <w:bCs/>
        </w:rPr>
        <w:t xml:space="preserve">Recommendation:</w:t>
      </w:r>
      <w:r>
        <w:t xml:space="preserve"> </w:t>
      </w:r>
      <w:r>
        <w:t xml:space="preserve">Minor revision before submission.</w:t>
      </w:r>
    </w:p>
    <w:p>
      <w:pPr>
        <w:numPr>
          <w:ilvl w:val="0"/>
          <w:numId w:val="1002"/>
        </w:numPr>
      </w:pPr>
      <w:r>
        <w:rPr>
          <w:b/>
          <w:bCs/>
        </w:rPr>
        <w:t xml:space="preserve">The 1.8-versus-16.1-percentage-point comparison is the paper’s strongest asset — protect it from being diluted by the combined scenario.</w:t>
      </w:r>
      <w:r>
        <w:t xml:space="preserve"> </w:t>
      </w:r>
      <w:r>
        <w:t xml:space="preserve">A policymaker skimming Table 6 could fix on Scenario S4’s</w:t>
      </w:r>
      <w:r>
        <w:t xml:space="preserve"> </w:t>
      </w:r>
      <w:r>
        <w:t xml:space="preserve">“catastrophic spending falls to zero”</w:t>
      </w:r>
      <w:r>
        <w:t xml:space="preserve"> </w:t>
      </w:r>
      <w:r>
        <w:t xml:space="preserve">and treat full combined coverage as a feasible target, missing that S1 and S2 are the comparison that matters.</w:t>
      </w:r>
      <w:r>
        <w:t xml:space="preserve"> </w:t>
      </w:r>
      <w:r>
        <w:rPr>
          <w:i/>
          <w:iCs/>
        </w:rPr>
        <w:t xml:space="preserve">Author response:</w:t>
      </w:r>
      <w:r>
        <w:t xml:space="preserve"> </w:t>
      </w:r>
      <w:r>
        <w:t xml:space="preserve">The manuscript anticipates this. The Results paragraph on the microsimulation states directly that S4</w:t>
      </w:r>
      <w:r>
        <w:t xml:space="preserve"> </w:t>
      </w:r>
      <w:r>
        <w:t xml:space="preserve">“is a ceiling rather than a realistic package… The comparison that matters is between the first two scenarios.”</w:t>
      </w:r>
      <w:r>
        <w:t xml:space="preserve"> </w:t>
      </w:r>
      <w:r>
        <w:t xml:space="preserve">The table footnote in</w:t>
      </w:r>
      <w:r>
        <w:t xml:space="preserve"> </w:t>
      </w:r>
      <w:r>
        <w:rPr>
          <w:rStyle w:val="VerbatimChar"/>
        </w:rPr>
        <w:t xml:space="preserve">_tables.md</w:t>
      </w:r>
      <w:r>
        <w:t xml:space="preserve"> </w:t>
      </w:r>
      <w:r>
        <w:t xml:space="preserve">repeats this for readers who jump straight to the table, and Supplementary S6 explains the mechanical reason the combined scenario reaches zero (full uptake and full reimbursement assumed simultaneously across all three levers).</w:t>
      </w:r>
    </w:p>
    <w:p>
      <w:pPr>
        <w:numPr>
          <w:ilvl w:val="0"/>
          <w:numId w:val="1002"/>
        </w:numPr>
      </w:pPr>
      <w:r>
        <w:rPr>
          <w:b/>
          <w:bCs/>
        </w:rPr>
        <w:t xml:space="preserve">Fiscal costs need a sense of scale, not just a rupee-crore figure.</w:t>
      </w:r>
      <w:r>
        <w:t xml:space="preserve"> </w:t>
      </w:r>
      <w:r>
        <w:t xml:space="preserve">Rs 2.6 lakh crore for outpatient and medicine cover (Scenario S2) is meaningless to most readers without something to compare it against.</w:t>
      </w:r>
      <w:r>
        <w:t xml:space="preserve"> </w:t>
      </w:r>
      <w:r>
        <w:rPr>
          <w:i/>
          <w:iCs/>
        </w:rPr>
        <w:t xml:space="preserve">Author response:</w:t>
      </w:r>
      <w:r>
        <w:t xml:space="preserve"> </w:t>
      </w:r>
      <w:r>
        <w:t xml:space="preserve">The Discussion places this in context by comparing it with the unpaid-care valuation (Rs 1.3 lakh crore) and with the inpatient-only scenario’s cost (about Rs 31,700 crore), making clear that outpatient cover costs roughly eight times as much as inpatient-only cover but buys nearly nine times the catastrophic-spending reduction. We have not added a GDP-share or budget-share benchmark because no such benchmark appears in the result CSVs and we do not want to introduce an unsourced macro figure.</w:t>
      </w:r>
    </w:p>
    <w:p>
      <w:pPr>
        <w:numPr>
          <w:ilvl w:val="0"/>
          <w:numId w:val="1002"/>
        </w:numPr>
      </w:pPr>
      <w:r>
        <w:rPr>
          <w:b/>
          <w:bCs/>
        </w:rPr>
        <w:t xml:space="preserve">“Outpatient and medicine cover”</w:t>
      </w:r>
      <w:r>
        <w:rPr>
          <w:b/>
          <w:bCs/>
        </w:rPr>
        <w:t xml:space="preserve"> </w:t>
      </w:r>
      <w:r>
        <w:rPr>
          <w:b/>
          <w:bCs/>
        </w:rPr>
        <w:t xml:space="preserve">is doing a lot of policy work for one phrase — what would it actually look like operationally?</w:t>
      </w:r>
      <w:r>
        <w:t xml:space="preserve"> </w:t>
      </w:r>
      <w:r>
        <w:t xml:space="preserve">The paper recommends this reform but a reader will ask whether it means a new insurance product, a primary-care entitlement, or a pharmacy benefit.</w:t>
      </w:r>
      <w:r>
        <w:t xml:space="preserve"> </w:t>
      </w:r>
      <w:r>
        <w:rPr>
          <w:i/>
          <w:iCs/>
        </w:rPr>
        <w:t xml:space="preserve">Author response:</w:t>
      </w:r>
      <w:r>
        <w:t xml:space="preserve"> </w:t>
      </w:r>
      <w:r>
        <w:t xml:space="preserve">The Discussion is specific on this point: it recommends cover</w:t>
      </w:r>
      <w:r>
        <w:t xml:space="preserve"> </w:t>
      </w:r>
      <w:r>
        <w:t xml:space="preserve">“delivered through primary care and aligned with the existing network of health and wellness centres,”</w:t>
      </w:r>
      <w:r>
        <w:t xml:space="preserve"> </w:t>
      </w:r>
      <w:r>
        <w:t xml:space="preserve">explicitly stating this would complement rather than replace PM-JAY. We have kept this at the level of policy direction rather than programme design, since costing a specific delivery model is beyond what the microsimulation in this paper supports.</w:t>
      </w:r>
    </w:p>
    <w:p>
      <w:pPr>
        <w:numPr>
          <w:ilvl w:val="0"/>
          <w:numId w:val="1002"/>
        </w:numPr>
      </w:pPr>
      <w:r>
        <w:rPr>
          <w:b/>
          <w:bCs/>
        </w:rPr>
        <w:t xml:space="preserve">Rural disadvantage is described well, but state-level variation is invisible.</w:t>
      </w:r>
      <w:r>
        <w:t xml:space="preserve"> </w:t>
      </w:r>
      <w:r>
        <w:t xml:space="preserve">Policymakers allocate budgets by state; an all-India rural/urban split, while important, does not tell a state health department where to start.</w:t>
      </w:r>
      <w:r>
        <w:t xml:space="preserve"> </w:t>
      </w:r>
      <w:r>
        <w:rPr>
          <w:i/>
          <w:iCs/>
        </w:rPr>
        <w:t xml:space="preserve">Author response:</w:t>
      </w:r>
      <w:r>
        <w:t xml:space="preserve"> </w:t>
      </w:r>
      <w:r>
        <w:t xml:space="preserve">This is a genuine scope limitation, not an oversight. The seven result tables in this package are drawn entirely from the national-level CSVs produced for this analysis; no state-disaggregated CHE, impoverishment or microsimulation table was generated. We have not invented state-level figures to fill this gap. A state-level extension is flagged as a natural follow-on analysis rather than promised in this manuscript.</w:t>
      </w:r>
    </w:p>
    <w:p>
      <w:pPr>
        <w:numPr>
          <w:ilvl w:val="0"/>
          <w:numId w:val="1002"/>
        </w:numPr>
      </w:pPr>
      <w:r>
        <w:rPr>
          <w:b/>
          <w:bCs/>
        </w:rPr>
        <w:t xml:space="preserve">The pension-versus-coverage framing is useful, but</w:t>
      </w:r>
      <w:r>
        <w:rPr>
          <w:b/>
          <w:bCs/>
        </w:rPr>
        <w:t xml:space="preserve"> </w:t>
      </w:r>
      <w:r>
        <w:rPr>
          <w:b/>
          <w:bCs/>
        </w:rPr>
        <w:t xml:space="preserve">“Rs 500 a month”</w:t>
      </w:r>
      <w:r>
        <w:rPr>
          <w:b/>
          <w:bCs/>
        </w:rPr>
        <w:t xml:space="preserve"> </w:t>
      </w:r>
      <w:r>
        <w:rPr>
          <w:b/>
          <w:bCs/>
        </w:rPr>
        <w:t xml:space="preserve">needs to be anchored to an existing scheme so readers don’t read it as an arbitrary number.</w:t>
      </w:r>
      <w:r>
        <w:t xml:space="preserve"> </w:t>
      </w:r>
      <w:r>
        <w:t xml:space="preserve">Otherwise Scenario S3 looks like a hypothetical with no link to current programmes.</w:t>
      </w:r>
      <w:r>
        <w:t xml:space="preserve"> </w:t>
      </w:r>
      <w:r>
        <w:rPr>
          <w:i/>
          <w:iCs/>
        </w:rPr>
        <w:t xml:space="preserve">Author response:</w:t>
      </w:r>
      <w:r>
        <w:t xml:space="preserve"> </w:t>
      </w:r>
      <w:r>
        <w:t xml:space="preserve">The Methods section already names the comparator: the scenario is described relative to the existing pension architecture, and reference 11 (the National Social Assistance Programme / Indira Gandhi National Old Age Pension Scheme) is cited as the relevant benchmark. The Discussion’s point that</w:t>
      </w:r>
      <w:r>
        <w:t xml:space="preserve"> </w:t>
      </w:r>
      <w:r>
        <w:t xml:space="preserve">“pensions and health cover do different jobs”</w:t>
      </w:r>
      <w:r>
        <w:t xml:space="preserve"> </w:t>
      </w:r>
      <w:r>
        <w:t xml:space="preserve">is the operative policy message, not the specific top-up amount.</w:t>
      </w:r>
    </w:p>
    <w:p>
      <w:pPr>
        <w:numPr>
          <w:ilvl w:val="0"/>
          <w:numId w:val="1002"/>
        </w:numPr>
      </w:pPr>
      <w:r>
        <w:rPr>
          <w:b/>
          <w:bCs/>
        </w:rPr>
        <w:t xml:space="preserve">The caregiving valuation risks being read as an argument against family care, when the paper’s intent is the opposite.</w:t>
      </w:r>
      <w:r>
        <w:t xml:space="preserve"> </w:t>
      </w:r>
      <w:r>
        <w:t xml:space="preserve">Putting a rupee figure on unpaid care could be misread as suggesting families should be paid, or that informal care is inefficient and should be replaced by paid services.</w:t>
      </w:r>
      <w:r>
        <w:t xml:space="preserve"> </w:t>
      </w:r>
      <w:r>
        <w:rPr>
          <w:i/>
          <w:iCs/>
        </w:rPr>
        <w:t xml:space="preserve">Author response:</w:t>
      </w:r>
      <w:r>
        <w:t xml:space="preserve"> </w:t>
      </w:r>
      <w:r>
        <w:t xml:space="preserve">The manuscript’s framing avoids this: it calls unpaid care</w:t>
      </w:r>
      <w:r>
        <w:t xml:space="preserve"> </w:t>
      </w:r>
      <w:r>
        <w:t xml:space="preserve">“an enormous, uncounted subsidy to the health system”</w:t>
      </w:r>
      <w:r>
        <w:t xml:space="preserve"> </w:t>
      </w:r>
      <w:r>
        <w:t xml:space="preserve">and warns that</w:t>
      </w:r>
      <w:r>
        <w:t xml:space="preserve"> </w:t>
      </w:r>
      <w:r>
        <w:t xml:space="preserve">“as families shrink and adult children migrate, that subsidy cannot be assumed to last.”</w:t>
      </w:r>
      <w:r>
        <w:t xml:space="preserve"> </w:t>
      </w:r>
      <w:r>
        <w:t xml:space="preserve">The intent, stated plainly, is to make a currently invisible cost visible to planners, not to argue for replacing family care with paid care. We judge the existing wording sufficient and have not added further qualification.</w:t>
      </w:r>
    </w:p>
    <w:bookmarkEnd w:id="10"/>
    <w:bookmarkStart w:id="11" w:name="editorial-self-assessment"/>
    <w:p>
      <w:pPr>
        <w:pStyle w:val="Heading2"/>
      </w:pPr>
      <w:r>
        <w:t xml:space="preserve">Editorial Self-Assessment</w:t>
      </w:r>
    </w:p>
    <w:p>
      <w:pPr>
        <w:pStyle w:val="FirstParagraph"/>
      </w:pPr>
      <w:r>
        <w:t xml:space="preserve">Both reviewer passes converge on the same conclusion: the manuscript’s central comparison (inpatient versus outpatient/medicine cover) is well supported by the result tables and is already hedged appropriately in the Discussion and Limitations. The points raised are either already addressed in the existing text (and are flagged here so the author can verify this before submission) or are genuine scope boundaries — state-level disaggregation, a validated standalone-pharmacy-spending measure, longitudinal impoverishment tracking — that are better left as stated limitations and future work than papered over with unsourced figures. No number in this manuscript or its supporting assets has been invented to answer a reviewer point; where a reviewer comment would require a statistic not present in the result CSVs, the response says so rather than estimating one.</w:t>
      </w:r>
    </w:p>
    <w:p>
      <w:pPr>
        <w:pStyle w:val="BodyText"/>
      </w:pPr>
      <w:r>
        <w:rPr>
          <w:b/>
          <w:bCs/>
        </w:rPr>
        <w:t xml:space="preserve">Status:</w:t>
      </w:r>
      <w:r>
        <w:t xml:space="preserve"> </w:t>
      </w:r>
      <w:r>
        <w:t xml:space="preserve">Ready for submission, subject to the human author inserting their name, affiliation, ORCID and the manuscript’s submission date in the title page, declarations and cover letter placeholders.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2026-06-26T05:39:36Z</dcterms:created>
  <dcterms:modified xsi:type="dcterms:W3CDTF">2026-06-26T05:39:36Z</dcterms:modified>
</cp:coreProperties>
</file>

<file path=docProps/custom.xml><?xml version="1.0" encoding="utf-8"?>
<Properties xmlns="http://schemas.openxmlformats.org/officeDocument/2006/custom-properties" xmlns:vt="http://schemas.openxmlformats.org/officeDocument/2006/docPropsVTypes"/>
</file>