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Title Page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Where the money goes: catastrophic spending, impoverishment, and the hidden cost of family care among older adults in India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Catastrophic health spending in older Indians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Original article / Health economics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[Author name to be inserted]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[Affiliation to be inserted]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[Corresponding author name, email and ORCID to be inserted]</w:t>
      </w:r>
    </w:p>
    <w:p>
      <w:pPr>
        <w:pStyle w:val="BodyText"/>
      </w:pPr>
      <w:r>
        <w:rPr>
          <w:b/>
          <w:bCs/>
        </w:rPr>
        <w:t xml:space="preserve">Word count, abstract:</w:t>
      </w:r>
      <w:r>
        <w:t xml:space="preserve"> </w:t>
      </w:r>
      <w:r>
        <w:t xml:space="preserve">251</w:t>
      </w:r>
    </w:p>
    <w:p>
      <w:pPr>
        <w:pStyle w:val="BodyText"/>
      </w:pPr>
      <w:r>
        <w:rPr>
          <w:b/>
          <w:bCs/>
        </w:rPr>
        <w:t xml:space="preserve">Word count, main text (Introduction to Conclusion, excluding abstract, references, tables and figure legends):</w:t>
      </w:r>
      <w:r>
        <w:t xml:space="preserve"> </w:t>
      </w:r>
      <w:r>
        <w:t xml:space="preserve">~2050</w:t>
      </w:r>
    </w:p>
    <w:p>
      <w:pPr>
        <w:pStyle w:val="BodyText"/>
      </w:pPr>
      <w:r>
        <w:rPr>
          <w:b/>
          <w:bCs/>
        </w:rPr>
        <w:t xml:space="preserve">Number of references: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Display items:</w:t>
      </w:r>
      <w:r>
        <w:t xml:space="preserve"> </w:t>
      </w:r>
      <w:r>
        <w:t xml:space="preserve">7 tables (Tables 1–6 plus a caregiving table) and 6 figures.</w:t>
      </w:r>
    </w:p>
    <w:p>
      <w:pPr>
        <w:pStyle w:val="BodyText"/>
      </w:pPr>
      <w:r>
        <w:rPr>
          <w:b/>
          <w:bCs/>
        </w:rPr>
        <w:t xml:space="preserve">Source of support:</w:t>
      </w:r>
      <w:r>
        <w:t xml:space="preserve"> </w:t>
      </w:r>
      <w:r>
        <w:t xml:space="preserve">No external funding declared.</w:t>
      </w:r>
    </w:p>
    <w:p>
      <w:pPr>
        <w:pStyle w:val="BodyText"/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None declared.</w:t>
      </w:r>
    </w:p>
    <w:p>
      <w:pPr>
        <w:pStyle w:val="BodyText"/>
      </w:pPr>
      <w:r>
        <w:rPr>
          <w:b/>
          <w:bCs/>
        </w:rPr>
        <w:t xml:space="preserve">Ethics approval:</w:t>
      </w:r>
      <w:r>
        <w:t xml:space="preserve"> </w:t>
      </w:r>
      <w:r>
        <w:t xml:space="preserve">Secondary analysis of de-identified, publicly available Longitudinal Ageing Study in India (LASI) Wave 1 data; no new ethics approval was required (see Declarations).</w:t>
      </w:r>
    </w:p>
    <w:p>
      <w:pPr>
        <w:pStyle w:val="BodyText"/>
      </w:pPr>
      <w:r>
        <w:rPr>
          <w:b/>
          <w:bCs/>
        </w:rPr>
        <w:t xml:space="preserve">Originality statement:</w:t>
      </w:r>
      <w:r>
        <w:t xml:space="preserve"> </w:t>
      </w:r>
      <w:r>
        <w:t xml:space="preserve">This manuscript is original work, has not been published previously, and is not under consideration or review at any other journal.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Aged; Health Expenditures; Catastrophic Illness; Caregivers; Health Policy; India.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2026-06-26T05:39:38Z</dcterms:created>
  <dcterms:modified xsi:type="dcterms:W3CDTF">2026-06-26T05:39:38Z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