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bles-main-text"/>
    <w:p>
      <w:pPr>
        <w:pStyle w:val="Heading1"/>
      </w:pPr>
      <w:r>
        <w:t xml:space="preserve">Tables (main text)</w:t>
      </w:r>
    </w:p>
    <w:bookmarkStart w:id="9" w:name="X642fd02c99d64db18fdc02b5b9780557310450b"/>
    <w:p>
      <w:pPr>
        <w:pStyle w:val="Heading2"/>
      </w:pPr>
      <w:r>
        <w:t xml:space="preserve">Table 1. The diagnosis gap: biologically measured vs self-reported disease (weighted %, 95% cluster-bootstrap CI)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2376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weighted_pct_95CI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Self-reported diabetes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 (11.5–12.4)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Biochemical diabetes (HbA1c&gt;=6.5)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 (14.7–15.9)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Undiagnosed among biochemically diabetic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51.3 (49.8–52.7)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Self-reported hypertension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 (25.5–26.7)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Measured hypertension (&gt;=140/90 mmHg)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 (30.6–31.9)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Undiagnosed among measured-hypertensive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 (62.8–65.0)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 (29.2–30.7)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Elevated CRP (&gt;3 mg/L)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 (9.2–9.9)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obesity (IDF Asian)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47.3 (46.2–48.3)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subclinical burden (&gt;=3 systems)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 (22.6–23.9)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58151</w:t>
            </w:r>
          </w:p>
        </w:tc>
      </w:tr>
    </w:tbl>
    <w:bookmarkEnd w:id="9"/>
    <w:bookmarkStart w:id="10" w:name="X0828bae0fc6606f6d5c54eadf95708bf1e2d223"/>
    <w:p>
      <w:pPr>
        <w:pStyle w:val="Heading2"/>
      </w:pPr>
      <w:r>
        <w:t xml:space="preserve">Table 2. Care cascade among all affected (aware -&gt; treated -&gt; controlled; % of affected, weighted, 95% CI)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pct_of_affected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Diabetes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(60.1-68.3)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Diabetes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(49.0-56.1)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Diabetes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(34.8-42.9)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(55.9-63.9)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(39.4-45.9)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(31.3-42.7)</w:t>
            </w:r>
          </w:p>
        </w:tc>
      </w:tr>
    </w:tbl>
    <w:bookmarkEnd w:id="10"/>
    <w:bookmarkStart w:id="11" w:name="Xcb489d01d324287629a76fa83b413e0012b7448"/>
    <w:p>
      <w:pPr>
        <w:pStyle w:val="Heading2"/>
      </w:pPr>
      <w:r>
        <w:t xml:space="preserve">Table 3. Socioeconomic inequality: Erreygers concentration indices (wealth-ranked; negative = pro-poor)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392"/>
        <w:gridCol w:w="1740"/>
        <w:gridCol w:w="252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erreygers_CI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Undiagnosed diabetes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(-0.1219, -0.0617)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pro-poor (worse among poor)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Undiagnosed hypertension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(-0.0483, -0.0066)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pro-poor (worse among poor)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Uncontrolled diabetes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(0.0018, 0.0523)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pro-rich (worse among rich)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Dysglycaemia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(0.0267, 0.0463)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pro-rich (worse among rich)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obesity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(0.1182, 0.1467)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pro-rich (worse among rich)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Anaemia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(-0.0487, -0.0248)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pro-poor (worse among poor)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grip strength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(-0.0776, -0.0564)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pro-poor (worse among poor)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biological burden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(0.0179, 0.0414)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pro-rich (worse among rich)</w:t>
            </w:r>
          </w:p>
        </w:tc>
      </w:tr>
    </w:tbl>
    <w:bookmarkEnd w:id="11"/>
    <w:bookmarkStart w:id="12" w:name="X19cb4a7fea09b947c0b8a1db618fdeaab7ccd35"/>
    <w:p>
      <w:pPr>
        <w:pStyle w:val="Heading2"/>
      </w:pPr>
      <w:r>
        <w:t xml:space="preserve">Table 4. Incremental value for predicting past-year hospitalisation (nested weighted logistic models)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9"/>
        <w:gridCol w:w="3429"/>
        <w:gridCol w:w="571"/>
        <w:gridCol w:w="1714"/>
        <w:gridCol w:w="7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AUROC_95CI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hospitalised_12m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age+sex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0.548 (0.538-0.558)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26051.5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hospitalised_12m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 +social/behaviour (simple indicators)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0.568 (0.561-0.578)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25919.7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hospitalised_12m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+self-reported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0.614 (0.606-0.623)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25351.1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hospitalised_12m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 +measured biomarker burden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0.615 (0.607-0.624)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25343.1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2026-06-12T16:00:47Z</dcterms:created>
  <dcterms:modified xsi:type="dcterms:W3CDTF">2026-06-12T16:00:47Z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