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Declarations</w:t>
      </w:r>
    </w:p>
    <w:p>
      <w:pPr>
        <w:pStyle w:val="Heading1"/>
      </w:pPr>
      <w:r>
        <w:t>Funding</w:t>
      </w:r>
    </w:p>
    <w:p>
      <w:r>
        <w:t>None.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Ethical approval</w:t>
      </w:r>
    </w:p>
    <w:p>
      <w:r>
        <w:t>Not applicable — systematic review of published literature.</w:t>
      </w:r>
    </w:p>
    <w:p>
      <w:pPr>
        <w:pStyle w:val="Heading1"/>
      </w:pPr>
      <w:r>
        <w:t>Data availability</w:t>
      </w:r>
    </w:p>
    <w:p>
      <w:r>
        <w:t>All extracted data, code, and gate reports are provided in the supplementary repository anti_ageing_review/meta_dnam_clocks/.</w:t>
      </w:r>
    </w:p>
    <w:p>
      <w:pPr>
        <w:pStyle w:val="Heading1"/>
      </w:pPr>
      <w:r>
        <w:t>Author contributions</w:t>
      </w:r>
    </w:p>
    <w:p>
      <w:r>
        <w:t>Dr Siddalingaiah H S: conception, protocol, screening, extraction, analysis, drafting. Dr Chandrakala D: dual screening and extraction, RoB 2 dual coding, critical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