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Community-deliverable interventions for physical frailty in older adults: a systematic review, conditional component network meta-analysis, and implementation-readiness mapping for Indian primary care</w:t>
      </w:r>
    </w:p>
    <w:p>
      <w:pPr>
        <w:pStyle w:val="Heading1"/>
      </w:pPr>
      <w:r>
        <w:t>Abstract</w:t>
      </w:r>
    </w:p>
    <w:p>
      <w:r>
        <w:t>Background: Physical frailty is a major barrier to healthy ageing and primary-care resilience in India. Objective: To synthesize randomized evidence on community-deliverable interventions for prefrail or frail older adults and map implementation readiness for Indian primary care. Methods: A PubMed search was executed on 2026-05-18. Final synthesis is pending protocol registration, full-text verification, numeric extraction and risk-of-bias assessment. Results: The current authenticated workflow identified 3425 PubMed hits, downloaded 3418 records, flagged 1129 title/abstract records as potentially relevant, and identified 179 high-confidence extraction candidates; 95 PMC full texts were mined as extraction aids. Conclusions: The evidence base appears feasible for full systematic review and probably pairwise meta-analysis. NMA remains conditional on final comparator connectivity and transitivity.</w:t>
      </w:r>
    </w:p>
    <w:p>
      <w:pPr>
        <w:pStyle w:val="Heading1"/>
      </w:pPr>
      <w:r>
        <w:t>Introduction</w:t>
      </w:r>
    </w:p>
    <w:p>
      <w:r>
        <w:t>This scaffold is intentionally claim-limited. It should be converted into a full manuscript only after author-verified extraction and synthesis. The final report should follow PRISMA 2020 [1] and, if network meta-analysis proceeds, the PRISMA-NMA extension [2].</w:t>
      </w:r>
    </w:p>
    <w:p>
      <w:pPr>
        <w:pStyle w:val="Heading1"/>
      </w:pPr>
      <w:r>
        <w:t>Methods</w:t>
      </w:r>
    </w:p>
    <w:p>
      <w:r>
        <w:t>The target journal is Indian Journal of Medical Research, which considers systematic reviews including meta-analysis and requires authors to follow its technical submission process [3]. Protocol registration is pending and is required before IJMR submission.</w:t>
      </w:r>
    </w:p>
    <w:p>
      <w:r>
        <w:t>Randomized and cluster-randomized trials of community, home, outpatient or primary-care interventions for prefrail or frail older adults are the primary target. RoB 2 will be used for randomized trials after final outcome extraction [4].</w:t>
      </w:r>
    </w:p>
    <w:p>
      <w:r>
        <w:t>Figure 1 summarizes the current screening-progress flow. Figure 2 summarizes preliminary intervention nodes.</w:t>
      </w:r>
    </w:p>
    <w:p>
      <w:r>
        <w:t>Table 1 summarizes authenticated workflow counts. Table 2 summarizes evidence gates before final synthesis.</w:t>
      </w:r>
    </w:p>
    <w:p>
      <w:pPr>
        <w:pStyle w:val="Heading1"/>
      </w:pPr>
      <w:r>
        <w:t>Results</w:t>
      </w:r>
    </w:p>
    <w:p>
      <w:r>
        <w:t>Final included studies, effect estimates, heterogeneity, certainty and NMA results are pending.</w:t>
      </w:r>
    </w:p>
    <w:p>
      <w:pPr>
        <w:pStyle w:val="Heading2"/>
      </w:pPr>
      <w:r>
        <w:t>Table 1. Authenticated Workflow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PubMed hits reported</w:t>
            </w:r>
          </w:p>
        </w:tc>
        <w:tc>
          <w:tcPr>
            <w:tcW w:type="dxa" w:w="4320"/>
          </w:tcPr>
          <w:p>
            <w:r>
              <w:t>3425</w:t>
            </w:r>
          </w:p>
        </w:tc>
      </w:tr>
      <w:tr>
        <w:tc>
          <w:tcPr>
            <w:tcW w:type="dxa" w:w="4320"/>
          </w:tcPr>
          <w:p>
            <w:r>
              <w:t>Records downloaded</w:t>
            </w:r>
          </w:p>
        </w:tc>
        <w:tc>
          <w:tcPr>
            <w:tcW w:type="dxa" w:w="4320"/>
          </w:tcPr>
          <w:p>
            <w:r>
              <w:t>3418</w:t>
            </w:r>
          </w:p>
        </w:tc>
      </w:tr>
      <w:tr>
        <w:tc>
          <w:tcPr>
            <w:tcW w:type="dxa" w:w="4320"/>
          </w:tcPr>
          <w:p>
            <w:r>
              <w:t>Title/abstract records flagged potentially relevant</w:t>
            </w:r>
          </w:p>
        </w:tc>
        <w:tc>
          <w:tcPr>
            <w:tcW w:type="dxa" w:w="4320"/>
          </w:tcPr>
          <w:p>
            <w:r>
              <w:t>1129</w:t>
            </w:r>
          </w:p>
        </w:tc>
      </w:tr>
      <w:tr>
        <w:tc>
          <w:tcPr>
            <w:tcW w:type="dxa" w:w="4320"/>
          </w:tcPr>
          <w:p>
            <w:r>
              <w:t>Primary full-text queue</w:t>
            </w:r>
          </w:p>
        </w:tc>
        <w:tc>
          <w:tcPr>
            <w:tcW w:type="dxa" w:w="4320"/>
          </w:tcPr>
          <w:p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High-confidence extraction candidates</w:t>
            </w:r>
          </w:p>
        </w:tc>
        <w:tc>
          <w:tcPr>
            <w:tcW w:type="dxa" w:w="4320"/>
          </w:tcPr>
          <w:p>
            <w:r>
              <w:t>179</w:t>
            </w:r>
          </w:p>
        </w:tc>
      </w:tr>
      <w:tr>
        <w:tc>
          <w:tcPr>
            <w:tcW w:type="dxa" w:w="4320"/>
          </w:tcPr>
          <w:p>
            <w:r>
              <w:t>PMC full texts mined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Publisher/library full texts required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</w:tbl>
    <w:p>
      <w:pPr>
        <w:pStyle w:val="Heading2"/>
      </w:pPr>
      <w:r>
        <w:t>Table 2. Evidence Gates Before Final Inference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  <w:tc>
          <w:tcPr>
            <w:tcW w:type="dxa" w:w="2880"/>
          </w:tcPr>
          <w:p>
            <w:r>
              <w:t>Implication</w:t>
            </w:r>
          </w:p>
        </w:tc>
      </w:tr>
      <w:tr>
        <w:tc>
          <w:tcPr>
            <w:tcW w:type="dxa" w:w="2880"/>
          </w:tcPr>
          <w:p>
            <w:r>
              <w:t>Protocol registration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Blocking before IJMR submission</w:t>
            </w:r>
          </w:p>
        </w:tc>
      </w:tr>
      <w:tr>
        <w:tc>
          <w:tcPr>
            <w:tcW w:type="dxa" w:w="2880"/>
          </w:tcPr>
          <w:p>
            <w:r>
              <w:t>Final full-text inclusion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Required before final PRISMA</w:t>
            </w:r>
          </w:p>
        </w:tc>
      </w:tr>
      <w:tr>
        <w:tc>
          <w:tcPr>
            <w:tcW w:type="dxa" w:w="2880"/>
          </w:tcPr>
          <w:p>
            <w:r>
              <w:t>Numeric extraction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Required before meta-analysis</w:t>
            </w:r>
          </w:p>
        </w:tc>
      </w:tr>
      <w:tr>
        <w:tc>
          <w:tcPr>
            <w:tcW w:type="dxa" w:w="2880"/>
          </w:tcPr>
          <w:p>
            <w:r>
              <w:t>RoB 2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Required before interpretation</w:t>
            </w:r>
          </w:p>
        </w:tc>
      </w:tr>
      <w:tr>
        <w:tc>
          <w:tcPr>
            <w:tcW w:type="dxa" w:w="2880"/>
          </w:tcPr>
          <w:p>
            <w:r>
              <w:t>NMA connectivity/transitivity</w:t>
            </w:r>
          </w:p>
        </w:tc>
        <w:tc>
          <w:tcPr>
            <w:tcW w:type="dxa" w:w="2880"/>
          </w:tcPr>
          <w:p>
            <w:r>
              <w:t>Not assessed</w:t>
            </w:r>
          </w:p>
        </w:tc>
        <w:tc>
          <w:tcPr>
            <w:tcW w:type="dxa" w:w="2880"/>
          </w:tcPr>
          <w:p>
            <w:r>
              <w:t>Required before NMA</w:t>
            </w:r>
          </w:p>
        </w:tc>
      </w:tr>
    </w:tbl>
    <w:p>
      <w:pPr>
        <w:pStyle w:val="Heading1"/>
      </w:pPr>
      <w:r>
        <w:t>Discussion</w:t>
      </w:r>
    </w:p>
    <w:p>
      <w:r>
        <w:t>The main expected contribution is India-facing implementation readiness, not another broad global ranking of exercise and nutrition interventions. Any final conclusion must separate efficacy, safety, adherence and deliverability.</w:t>
      </w:r>
    </w:p>
    <w:p>
      <w:pPr>
        <w:pStyle w:val="Heading1"/>
      </w:pPr>
      <w:r>
        <w:t>Limitations of Current Scaffold</w:t>
      </w:r>
    </w:p>
    <w:p>
      <w:r>
        <w:t>This document is not a completed manuscript. It contains authenticated workflow counts and submission structure, but lacks final full-text screening, effect sizes, RoB 2 judgements, certainty assessment and final reference metadata.</w:t>
      </w:r>
    </w:p>
    <w:p>
      <w:pPr>
        <w:pStyle w:val="Heading1"/>
      </w:pPr>
      <w:r>
        <w:t>References</w:t>
      </w:r>
    </w:p>
    <w:p>
      <w:r>
        <w:t>1. Page MJ, McKenzie JE, Bossuyt PM, et al. The PRISMA 2020 statement: an updated guideline for reporting systematic reviews. BMJ. 2021;372:n71. doi:10.1136/bmj.n71.</w:t>
      </w:r>
    </w:p>
    <w:p>
      <w:r>
        <w:t>2. Hutton B, Salanti G, Caldwell DM, et al. The PRISMA extension statement for reporting of systematic reviews incorporating network meta-analyses of health care interventions. Ann Intern Med. 2015;162(11):777-784. doi:10.7326/M14-2385.</w:t>
      </w:r>
    </w:p>
    <w:p>
      <w:r>
        <w:t>3. Indian Journal of Medical Research. Instructions for authors. Available from: https://ijmr.org.in/for-authors/ Accessed May 18, 2026.</w:t>
      </w:r>
    </w:p>
    <w:p>
      <w:r>
        <w:t>4. Cochrane Methods. Risk of Bias 2 (RoB 2) tool. Available from: https://methods.cochrane.org/risk-bias-2 Accessed May 18,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