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Can Ageing Be Slowed or Reversed? A Reproducible Evidence Map, Credibility Ranking, and Mechanistic Synthesis of Anti-Ageing and Age-Reversal Interventions</w:t>
      </w:r>
    </w:p>
    <w:p>
      <w:r>
        <w:rPr>
          <w:rFonts w:ascii="Times New Roman" w:hAnsi="Times New Roman"/>
        </w:rPr>
        <w:t>Article type: Systematic review / evidence map</w:t>
      </w:r>
    </w:p>
    <w:p>
      <w:r>
        <w:rPr>
          <w:rFonts w:ascii="Times New Roman" w:hAnsi="Times New Roman"/>
        </w:rPr>
        <w:t>Running title: Anti-ageing evidence map</w:t>
      </w:r>
    </w:p>
    <w:p>
      <w:pPr>
        <w:pStyle w:val="Heading1"/>
      </w:pPr>
      <w:r>
        <w:rPr>
          <w:rFonts w:ascii="Times New Roman" w:hAnsi="Times New Roman"/>
        </w:rPr>
        <w:t>Abstract</w:t>
      </w:r>
    </w:p>
    <w:p>
      <w:r>
        <w:rPr>
          <w:rFonts w:ascii="Times New Roman" w:hAnsi="Times New Roman"/>
        </w:rPr>
        <w:t>Background: Anti-ageing claims range from established healthspan interventions to speculative rejuvenation approaches. Objective: To create a conservative, reproducible evidence map separating healthspan benefit, lifespan extension, biological-age slowing, biomarker reversal, and true clinical rejuvenation. Methods: Searches across PubMed, Europe PMC, and Crossref retrieved 1155 raw records, deduplicated to 1029. Title/abstract screening, metadata-assisted extraction, credibility scoring, mechanism mapping, priority human verification, preliminary risk-of-bias prompts, duplicate checks, and candidate effect extraction were performed. Results: Screening classified 29 records as include, 455 as uncertain, and 545 as exclude. 484 records entered the full-text queue. In the priority human pass, 19 records had open full text verified, 16 had abstract-level verification, and 5 were not retrieved. Candidate numeric effect text was found for 28 records. Exercise ranked highest for human healthspan-oriented evidence; other domains showed signals requiring verification. Conclusion: Repo-held evidence supports healthspan-oriented exercise most strongly, while pharmacologic, senolytic, NAD/sirtuin, microbiome, fasting, caloric restriction, and regenerative claims remain less certain. No intervention in this evidence set proves human age reversal.</w:t>
      </w:r>
    </w:p>
    <w:p>
      <w:r>
        <w:rPr>
          <w:rFonts w:ascii="Times New Roman" w:hAnsi="Times New Roman"/>
        </w:rPr>
        <w:t>Keywords: ageing; healthspan; rejuvenation; biological age; senolytics; rapamycin; systematic review; evidence map</w:t>
      </w:r>
    </w:p>
    <w:p>
      <w:pPr>
        <w:pStyle w:val="Heading1"/>
      </w:pPr>
      <w:r>
        <w:rPr>
          <w:rFonts w:ascii="Times New Roman" w:hAnsi="Times New Roman"/>
        </w:rPr>
        <w:t>Introduction</w:t>
      </w:r>
    </w:p>
    <w:p>
      <w:r>
        <w:rPr>
          <w:rFonts w:ascii="Times New Roman" w:hAnsi="Times New Roman"/>
        </w:rPr>
        <w:t>Anti-ageing interventions are often discussed as though improved healthy ageing, delayed biological ageing, biomarker reversal, and rejuvenation were interchangeable. This creates risk of clinical overclaiming. A rigorous review must separate human functional outcomes from animal lifespan results, cellular mechanisms, and surrogate biomarker shifts.</w:t>
      </w:r>
    </w:p>
    <w:p>
      <w:r>
        <w:rPr>
          <w:rFonts w:ascii="Times New Roman" w:hAnsi="Times New Roman"/>
        </w:rPr>
        <w:t>This manuscript presents a reproducible evidence map and credibility ranking of anti-ageing and age-reversal intervention domains. The analysis is conservative by design and uses only records and extraction artifacts available in the repository.</w:t>
      </w:r>
    </w:p>
    <w:p>
      <w:pPr>
        <w:pStyle w:val="Heading1"/>
      </w:pPr>
      <w:r>
        <w:rPr>
          <w:rFonts w:ascii="Times New Roman" w:hAnsi="Times New Roman"/>
        </w:rPr>
        <w:t>Methods</w:t>
      </w:r>
    </w:p>
    <w:p>
      <w:r>
        <w:rPr>
          <w:rFonts w:ascii="Times New Roman" w:hAnsi="Times New Roman"/>
        </w:rPr>
        <w:t>A PRISMA-style pipeline searched PubMed, Europe PMC, and Crossref; deduplicated records by DOI, PMID, and normalized title; screened title/abstract metadata; generated full-text triage artifacts; extracted intervention, model-system, outcome-domain, and mechanism fields; scored evidence credibility; and generated figures and tables.</w:t>
      </w:r>
    </w:p>
    <w:p>
      <w:r>
        <w:rPr>
          <w:rFonts w:ascii="Times New Roman" w:hAnsi="Times New Roman"/>
        </w:rPr>
        <w:t>High-quality human evidence was prioritized for verification. The top human records were checked through open PMC XML, PubMed XML abstracts, or repository abstracts where available. Preliminary risk-of-bias prompts and candidate effect-size snippets were generated only as aids to manual review.</w:t>
      </w:r>
    </w:p>
    <w:p>
      <w:r>
        <w:rPr>
          <w:rFonts w:ascii="Times New Roman" w:hAnsi="Times New Roman"/>
        </w:rPr>
        <w:t>Meta-analysis was not performed because final verified effect sizes, uncertainty measures, denominators, intervention dose/duration, comparator details, and harmonized outcome definitions are not yet complete.</w:t>
      </w:r>
    </w:p>
    <w:p>
      <w:pPr>
        <w:pStyle w:val="Heading1"/>
      </w:pPr>
      <w:r>
        <w:rPr>
          <w:rFonts w:ascii="Times New Roman" w:hAnsi="Times New Roman"/>
        </w:rPr>
        <w:t>Results</w:t>
      </w:r>
    </w:p>
    <w:p>
      <w:r>
        <w:rPr>
          <w:rFonts w:ascii="Times New Roman" w:hAnsi="Times New Roman"/>
        </w:rPr>
        <w:t>The pilot search retrieved 1155 raw records and produced 1029 deduplicated records. Title/abstract screening classified 29 records as include, 455 as uncertain, and 545 as exclude. The full-text screening artifact contained 484 records. Priority bands were: priority_4_low_directness_or_unclear: 368; priority_3_contextual_or_preclinical: 81; priority_2_human_or_direct_ageing: 24; priority_1_human_direct_ageing: 11. Priority human verification was attempted for 40 records: 19 had open PMC full text verified, 16 had PubMed abstract verification with full text pending, and 5 were not retrieved by automated lookup. Candidate numeric effect text was detected for 28 prioritized records; these snippets were retained as extraction aids rather than final effect sizes. Preliminary risk-of-bias prompts classified records as some_concern: 23; low_to_some_concern_pending_full_text_review: 10; serious_or_unclear: 7. Duplicate and overlapping-publication checks produced 45 flags requiring manual adjudication. exercise ranked first, with 37 human records, 10 human trial records, 16 healthspan records, and a credibility score of 31.48. The first credibility ranking placed microbiome, rapamycin/mTOR, senolytics, caloric restriction, lifestyle bundles, NAD/sirtuin interventions, and fasting in a human-signal-requires-verification tier. Supplements, metformin, sleep/circadian approaches, controversial rejuvenation, reprogramming, and stem-cell approaches were categorized as biomarker/indirect or low-directness categories in the extracted dataset.</w:t>
      </w:r>
    </w:p>
    <w:p>
      <w:r>
        <w:rPr>
          <w:rFonts w:ascii="Times New Roman" w:hAnsi="Times New Roman"/>
        </w:rPr>
        <w:t>Table 1. First intervention credibility ranking.</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Rank</w:t>
            </w:r>
          </w:p>
        </w:tc>
        <w:tc>
          <w:tcPr>
            <w:tcW w:type="dxa" w:w="1040"/>
          </w:tcPr>
          <w:p>
            <w:r>
              <w:t>Intervention Name</w:t>
            </w:r>
          </w:p>
        </w:tc>
        <w:tc>
          <w:tcPr>
            <w:tcW w:type="dxa" w:w="1040"/>
          </w:tcPr>
          <w:p>
            <w:r>
              <w:t>Credibility Score</w:t>
            </w:r>
          </w:p>
        </w:tc>
        <w:tc>
          <w:tcPr>
            <w:tcW w:type="dxa" w:w="1040"/>
          </w:tcPr>
          <w:p>
            <w:r>
              <w:t>Credibility Tier</w:t>
            </w:r>
          </w:p>
        </w:tc>
        <w:tc>
          <w:tcPr>
            <w:tcW w:type="dxa" w:w="1040"/>
          </w:tcPr>
          <w:p>
            <w:r>
              <w:t>Human Records</w:t>
            </w:r>
          </w:p>
        </w:tc>
        <w:tc>
          <w:tcPr>
            <w:tcW w:type="dxa" w:w="1040"/>
          </w:tcPr>
          <w:p>
            <w:r>
              <w:t>Human Trial Records</w:t>
            </w:r>
          </w:p>
        </w:tc>
        <w:tc>
          <w:tcPr>
            <w:tcW w:type="dxa" w:w="1040"/>
          </w:tcPr>
          <w:p>
            <w:r>
              <w:t>Healthspan Records</w:t>
            </w:r>
          </w:p>
        </w:tc>
        <w:tc>
          <w:tcPr>
            <w:tcW w:type="dxa" w:w="1040"/>
          </w:tcPr>
          <w:p>
            <w:r>
              <w:t>Hard Ageing Records</w:t>
            </w:r>
          </w:p>
        </w:tc>
        <w:tc>
          <w:tcPr>
            <w:tcW w:type="dxa" w:w="1040"/>
          </w:tcPr>
          <w:p>
            <w:r>
              <w:t>Hype Rate</w:t>
            </w:r>
          </w:p>
        </w:tc>
      </w:tr>
      <w:tr>
        <w:tc>
          <w:tcPr>
            <w:tcW w:type="dxa" w:w="1040"/>
          </w:tcPr>
          <w:p>
            <w:r>
              <w:t>1</w:t>
            </w:r>
          </w:p>
        </w:tc>
        <w:tc>
          <w:tcPr>
            <w:tcW w:type="dxa" w:w="1040"/>
          </w:tcPr>
          <w:p>
            <w:r>
              <w:t>exercise</w:t>
            </w:r>
          </w:p>
        </w:tc>
        <w:tc>
          <w:tcPr>
            <w:tcW w:type="dxa" w:w="1040"/>
          </w:tcPr>
          <w:p>
            <w:r>
              <w:t>31.48</w:t>
            </w:r>
          </w:p>
        </w:tc>
        <w:tc>
          <w:tcPr>
            <w:tcW w:type="dxa" w:w="1040"/>
          </w:tcPr>
          <w:p>
            <w:r>
              <w:t>highest_current_human_healthspan_signal</w:t>
            </w:r>
          </w:p>
        </w:tc>
        <w:tc>
          <w:tcPr>
            <w:tcW w:type="dxa" w:w="1040"/>
          </w:tcPr>
          <w:p>
            <w:r>
              <w:t>37</w:t>
            </w:r>
          </w:p>
        </w:tc>
        <w:tc>
          <w:tcPr>
            <w:tcW w:type="dxa" w:w="1040"/>
          </w:tcPr>
          <w:p>
            <w:r>
              <w:t>10</w:t>
            </w:r>
          </w:p>
        </w:tc>
        <w:tc>
          <w:tcPr>
            <w:tcW w:type="dxa" w:w="1040"/>
          </w:tcPr>
          <w:p>
            <w:r>
              <w:t>16</w:t>
            </w:r>
          </w:p>
        </w:tc>
        <w:tc>
          <w:tcPr>
            <w:tcW w:type="dxa" w:w="1040"/>
          </w:tcPr>
          <w:p>
            <w:r>
              <w:t>3</w:t>
            </w:r>
          </w:p>
        </w:tc>
        <w:tc>
          <w:tcPr>
            <w:tcW w:type="dxa" w:w="1040"/>
          </w:tcPr>
          <w:p>
            <w:r>
              <w:t>0.01</w:t>
            </w:r>
          </w:p>
        </w:tc>
      </w:tr>
      <w:tr>
        <w:tc>
          <w:tcPr>
            <w:tcW w:type="dxa" w:w="1040"/>
          </w:tcPr>
          <w:p>
            <w:r>
              <w:t>2</w:t>
            </w:r>
          </w:p>
        </w:tc>
        <w:tc>
          <w:tcPr>
            <w:tcW w:type="dxa" w:w="1040"/>
          </w:tcPr>
          <w:p>
            <w:r>
              <w:t>microbiome</w:t>
            </w:r>
          </w:p>
        </w:tc>
        <w:tc>
          <w:tcPr>
            <w:tcW w:type="dxa" w:w="1040"/>
          </w:tcPr>
          <w:p>
            <w:r>
              <w:t>21.5</w:t>
            </w:r>
          </w:p>
        </w:tc>
        <w:tc>
          <w:tcPr>
            <w:tcW w:type="dxa" w:w="1040"/>
          </w:tcPr>
          <w:p>
            <w:r>
              <w:t>human_signal_requires_verification</w:t>
            </w:r>
          </w:p>
        </w:tc>
        <w:tc>
          <w:tcPr>
            <w:tcW w:type="dxa" w:w="1040"/>
          </w:tcPr>
          <w:p>
            <w:r>
              <w:t>8</w:t>
            </w:r>
          </w:p>
        </w:tc>
        <w:tc>
          <w:tcPr>
            <w:tcW w:type="dxa" w:w="1040"/>
          </w:tcPr>
          <w:p>
            <w:r>
              <w:t>2</w:t>
            </w:r>
          </w:p>
        </w:tc>
        <w:tc>
          <w:tcPr>
            <w:tcW w:type="dxa" w:w="1040"/>
          </w:tcPr>
          <w:p>
            <w:r>
              <w:t>2</w:t>
            </w:r>
          </w:p>
        </w:tc>
        <w:tc>
          <w:tcPr>
            <w:tcW w:type="dxa" w:w="1040"/>
          </w:tcPr>
          <w:p>
            <w:r>
              <w:t>2</w:t>
            </w:r>
          </w:p>
        </w:tc>
        <w:tc>
          <w:tcPr>
            <w:tcW w:type="dxa" w:w="1040"/>
          </w:tcPr>
          <w:p>
            <w:r>
              <w:t>0.05</w:t>
            </w:r>
          </w:p>
        </w:tc>
      </w:tr>
      <w:tr>
        <w:tc>
          <w:tcPr>
            <w:tcW w:type="dxa" w:w="1040"/>
          </w:tcPr>
          <w:p>
            <w:r>
              <w:t>3</w:t>
            </w:r>
          </w:p>
        </w:tc>
        <w:tc>
          <w:tcPr>
            <w:tcW w:type="dxa" w:w="1040"/>
          </w:tcPr>
          <w:p>
            <w:r>
              <w:t>rapamycin_mtor</w:t>
            </w:r>
          </w:p>
        </w:tc>
        <w:tc>
          <w:tcPr>
            <w:tcW w:type="dxa" w:w="1040"/>
          </w:tcPr>
          <w:p>
            <w:r>
              <w:t>21.24</w:t>
            </w:r>
          </w:p>
        </w:tc>
        <w:tc>
          <w:tcPr>
            <w:tcW w:type="dxa" w:w="1040"/>
          </w:tcPr>
          <w:p>
            <w:r>
              <w:t>human_signal_requires_verification</w:t>
            </w:r>
          </w:p>
        </w:tc>
        <w:tc>
          <w:tcPr>
            <w:tcW w:type="dxa" w:w="1040"/>
          </w:tcPr>
          <w:p>
            <w:r>
              <w:t>7</w:t>
            </w:r>
          </w:p>
        </w:tc>
        <w:tc>
          <w:tcPr>
            <w:tcW w:type="dxa" w:w="1040"/>
          </w:tcPr>
          <w:p>
            <w:r>
              <w:t>3</w:t>
            </w:r>
          </w:p>
        </w:tc>
        <w:tc>
          <w:tcPr>
            <w:tcW w:type="dxa" w:w="1040"/>
          </w:tcPr>
          <w:p>
            <w:r>
              <w:t>1</w:t>
            </w:r>
          </w:p>
        </w:tc>
        <w:tc>
          <w:tcPr>
            <w:tcW w:type="dxa" w:w="1040"/>
          </w:tcPr>
          <w:p>
            <w:r>
              <w:t>3</w:t>
            </w:r>
          </w:p>
        </w:tc>
        <w:tc>
          <w:tcPr>
            <w:tcW w:type="dxa" w:w="1040"/>
          </w:tcPr>
          <w:p>
            <w:r>
              <w:t>0.03</w:t>
            </w:r>
          </w:p>
        </w:tc>
      </w:tr>
      <w:tr>
        <w:tc>
          <w:tcPr>
            <w:tcW w:type="dxa" w:w="1040"/>
          </w:tcPr>
          <w:p>
            <w:r>
              <w:t>4</w:t>
            </w:r>
          </w:p>
        </w:tc>
        <w:tc>
          <w:tcPr>
            <w:tcW w:type="dxa" w:w="1040"/>
          </w:tcPr>
          <w:p>
            <w:r>
              <w:t>senolytics</w:t>
            </w:r>
          </w:p>
        </w:tc>
        <w:tc>
          <w:tcPr>
            <w:tcW w:type="dxa" w:w="1040"/>
          </w:tcPr>
          <w:p>
            <w:r>
              <w:t>19.94</w:t>
            </w:r>
          </w:p>
        </w:tc>
        <w:tc>
          <w:tcPr>
            <w:tcW w:type="dxa" w:w="1040"/>
          </w:tcPr>
          <w:p>
            <w:r>
              <w:t>human_signal_requires_verification</w:t>
            </w:r>
          </w:p>
        </w:tc>
        <w:tc>
          <w:tcPr>
            <w:tcW w:type="dxa" w:w="1040"/>
          </w:tcPr>
          <w:p>
            <w:r>
              <w:t>7</w:t>
            </w:r>
          </w:p>
        </w:tc>
        <w:tc>
          <w:tcPr>
            <w:tcW w:type="dxa" w:w="1040"/>
          </w:tcPr>
          <w:p>
            <w:r>
              <w:t>1</w:t>
            </w:r>
          </w:p>
        </w:tc>
        <w:tc>
          <w:tcPr>
            <w:tcW w:type="dxa" w:w="1040"/>
          </w:tcPr>
          <w:p>
            <w:r>
              <w:t>3</w:t>
            </w:r>
          </w:p>
        </w:tc>
        <w:tc>
          <w:tcPr>
            <w:tcW w:type="dxa" w:w="1040"/>
          </w:tcPr>
          <w:p>
            <w:r>
              <w:t>3</w:t>
            </w:r>
          </w:p>
        </w:tc>
        <w:tc>
          <w:tcPr>
            <w:tcW w:type="dxa" w:w="1040"/>
          </w:tcPr>
          <w:p>
            <w:r>
              <w:t>0.08</w:t>
            </w:r>
          </w:p>
        </w:tc>
      </w:tr>
      <w:tr>
        <w:tc>
          <w:tcPr>
            <w:tcW w:type="dxa" w:w="1040"/>
          </w:tcPr>
          <w:p>
            <w:r>
              <w:t>5</w:t>
            </w:r>
          </w:p>
        </w:tc>
        <w:tc>
          <w:tcPr>
            <w:tcW w:type="dxa" w:w="1040"/>
          </w:tcPr>
          <w:p>
            <w:r>
              <w:t>caloric_restriction</w:t>
            </w:r>
          </w:p>
        </w:tc>
        <w:tc>
          <w:tcPr>
            <w:tcW w:type="dxa" w:w="1040"/>
          </w:tcPr>
          <w:p>
            <w:r>
              <w:t>19.52</w:t>
            </w:r>
          </w:p>
        </w:tc>
        <w:tc>
          <w:tcPr>
            <w:tcW w:type="dxa" w:w="1040"/>
          </w:tcPr>
          <w:p>
            <w:r>
              <w:t>human_signal_requires_verification</w:t>
            </w:r>
          </w:p>
        </w:tc>
        <w:tc>
          <w:tcPr>
            <w:tcW w:type="dxa" w:w="1040"/>
          </w:tcPr>
          <w:p>
            <w:r>
              <w:t>5</w:t>
            </w:r>
          </w:p>
        </w:tc>
        <w:tc>
          <w:tcPr>
            <w:tcW w:type="dxa" w:w="1040"/>
          </w:tcPr>
          <w:p>
            <w:r>
              <w:t>3</w:t>
            </w:r>
          </w:p>
        </w:tc>
        <w:tc>
          <w:tcPr>
            <w:tcW w:type="dxa" w:w="1040"/>
          </w:tcPr>
          <w:p>
            <w:r>
              <w:t>0</w:t>
            </w:r>
          </w:p>
        </w:tc>
        <w:tc>
          <w:tcPr>
            <w:tcW w:type="dxa" w:w="1040"/>
          </w:tcPr>
          <w:p>
            <w:r>
              <w:t>18</w:t>
            </w:r>
          </w:p>
        </w:tc>
        <w:tc>
          <w:tcPr>
            <w:tcW w:type="dxa" w:w="1040"/>
          </w:tcPr>
          <w:p>
            <w:r>
              <w:t>0.04</w:t>
            </w:r>
          </w:p>
        </w:tc>
      </w:tr>
      <w:tr>
        <w:tc>
          <w:tcPr>
            <w:tcW w:type="dxa" w:w="1040"/>
          </w:tcPr>
          <w:p>
            <w:r>
              <w:t>6</w:t>
            </w:r>
          </w:p>
        </w:tc>
        <w:tc>
          <w:tcPr>
            <w:tcW w:type="dxa" w:w="1040"/>
          </w:tcPr>
          <w:p>
            <w:r>
              <w:t>lifestyle_bundle</w:t>
            </w:r>
          </w:p>
        </w:tc>
        <w:tc>
          <w:tcPr>
            <w:tcW w:type="dxa" w:w="1040"/>
          </w:tcPr>
          <w:p>
            <w:r>
              <w:t>17.0</w:t>
            </w:r>
          </w:p>
        </w:tc>
        <w:tc>
          <w:tcPr>
            <w:tcW w:type="dxa" w:w="1040"/>
          </w:tcPr>
          <w:p>
            <w:r>
              <w:t>human_signal_requires_verification</w:t>
            </w:r>
          </w:p>
        </w:tc>
        <w:tc>
          <w:tcPr>
            <w:tcW w:type="dxa" w:w="1040"/>
          </w:tcPr>
          <w:p>
            <w:r>
              <w:t>3</w:t>
            </w:r>
          </w:p>
        </w:tc>
        <w:tc>
          <w:tcPr>
            <w:tcW w:type="dxa" w:w="1040"/>
          </w:tcPr>
          <w:p>
            <w:r>
              <w:t>2</w:t>
            </w:r>
          </w:p>
        </w:tc>
        <w:tc>
          <w:tcPr>
            <w:tcW w:type="dxa" w:w="1040"/>
          </w:tcPr>
          <w:p>
            <w:r>
              <w:t>1</w:t>
            </w:r>
          </w:p>
        </w:tc>
        <w:tc>
          <w:tcPr>
            <w:tcW w:type="dxa" w:w="1040"/>
          </w:tcPr>
          <w:p>
            <w:r>
              <w:t>0</w:t>
            </w:r>
          </w:p>
        </w:tc>
        <w:tc>
          <w:tcPr>
            <w:tcW w:type="dxa" w:w="1040"/>
          </w:tcPr>
          <w:p>
            <w:r>
              <w:t>0.0</w:t>
            </w:r>
          </w:p>
        </w:tc>
      </w:tr>
      <w:tr>
        <w:tc>
          <w:tcPr>
            <w:tcW w:type="dxa" w:w="1040"/>
          </w:tcPr>
          <w:p>
            <w:r>
              <w:t>7</w:t>
            </w:r>
          </w:p>
        </w:tc>
        <w:tc>
          <w:tcPr>
            <w:tcW w:type="dxa" w:w="1040"/>
          </w:tcPr>
          <w:p>
            <w:r>
              <w:t>nad_sirtuin</w:t>
            </w:r>
          </w:p>
        </w:tc>
        <w:tc>
          <w:tcPr>
            <w:tcW w:type="dxa" w:w="1040"/>
          </w:tcPr>
          <w:p>
            <w:r>
              <w:t>16.64</w:t>
            </w:r>
          </w:p>
        </w:tc>
        <w:tc>
          <w:tcPr>
            <w:tcW w:type="dxa" w:w="1040"/>
          </w:tcPr>
          <w:p>
            <w:r>
              <w:t>human_signal_requires_verification</w:t>
            </w:r>
          </w:p>
        </w:tc>
        <w:tc>
          <w:tcPr>
            <w:tcW w:type="dxa" w:w="1040"/>
          </w:tcPr>
          <w:p>
            <w:r>
              <w:t>8</w:t>
            </w:r>
          </w:p>
        </w:tc>
        <w:tc>
          <w:tcPr>
            <w:tcW w:type="dxa" w:w="1040"/>
          </w:tcPr>
          <w:p>
            <w:r>
              <w:t>2</w:t>
            </w:r>
          </w:p>
        </w:tc>
        <w:tc>
          <w:tcPr>
            <w:tcW w:type="dxa" w:w="1040"/>
          </w:tcPr>
          <w:p>
            <w:r>
              <w:t>0</w:t>
            </w:r>
          </w:p>
        </w:tc>
        <w:tc>
          <w:tcPr>
            <w:tcW w:type="dxa" w:w="1040"/>
          </w:tcPr>
          <w:p>
            <w:r>
              <w:t>1</w:t>
            </w:r>
          </w:p>
        </w:tc>
        <w:tc>
          <w:tcPr>
            <w:tcW w:type="dxa" w:w="1040"/>
          </w:tcPr>
          <w:p>
            <w:r>
              <w:t>0.03</w:t>
            </w:r>
          </w:p>
        </w:tc>
      </w:tr>
      <w:tr>
        <w:tc>
          <w:tcPr>
            <w:tcW w:type="dxa" w:w="1040"/>
          </w:tcPr>
          <w:p>
            <w:r>
              <w:t>8</w:t>
            </w:r>
          </w:p>
        </w:tc>
        <w:tc>
          <w:tcPr>
            <w:tcW w:type="dxa" w:w="1040"/>
          </w:tcPr>
          <w:p>
            <w:r>
              <w:t>fasting</w:t>
            </w:r>
          </w:p>
        </w:tc>
        <w:tc>
          <w:tcPr>
            <w:tcW w:type="dxa" w:w="1040"/>
          </w:tcPr>
          <w:p>
            <w:r>
              <w:t>15.1</w:t>
            </w:r>
          </w:p>
        </w:tc>
        <w:tc>
          <w:tcPr>
            <w:tcW w:type="dxa" w:w="1040"/>
          </w:tcPr>
          <w:p>
            <w:r>
              <w:t>human_signal_requires_verification</w:t>
            </w:r>
          </w:p>
        </w:tc>
        <w:tc>
          <w:tcPr>
            <w:tcW w:type="dxa" w:w="1040"/>
          </w:tcPr>
          <w:p>
            <w:r>
              <w:t>5</w:t>
            </w:r>
          </w:p>
        </w:tc>
        <w:tc>
          <w:tcPr>
            <w:tcW w:type="dxa" w:w="1040"/>
          </w:tcPr>
          <w:p>
            <w:r>
              <w:t>2</w:t>
            </w:r>
          </w:p>
        </w:tc>
        <w:tc>
          <w:tcPr>
            <w:tcW w:type="dxa" w:w="1040"/>
          </w:tcPr>
          <w:p>
            <w:r>
              <w:t>0</w:t>
            </w:r>
          </w:p>
        </w:tc>
        <w:tc>
          <w:tcPr>
            <w:tcW w:type="dxa" w:w="1040"/>
          </w:tcPr>
          <w:p>
            <w:r>
              <w:t>0</w:t>
            </w:r>
          </w:p>
        </w:tc>
        <w:tc>
          <w:tcPr>
            <w:tcW w:type="dxa" w:w="1040"/>
          </w:tcPr>
          <w:p>
            <w:r>
              <w:t>0.15</w:t>
            </w:r>
          </w:p>
        </w:tc>
      </w:tr>
      <w:tr>
        <w:tc>
          <w:tcPr>
            <w:tcW w:type="dxa" w:w="1040"/>
          </w:tcPr>
          <w:p>
            <w:r>
              <w:t>9</w:t>
            </w:r>
          </w:p>
        </w:tc>
        <w:tc>
          <w:tcPr>
            <w:tcW w:type="dxa" w:w="1040"/>
          </w:tcPr>
          <w:p>
            <w:r>
              <w:t>supplements</w:t>
            </w:r>
          </w:p>
        </w:tc>
        <w:tc>
          <w:tcPr>
            <w:tcW w:type="dxa" w:w="1040"/>
          </w:tcPr>
          <w:p>
            <w:r>
              <w:t>13.7</w:t>
            </w:r>
          </w:p>
        </w:tc>
        <w:tc>
          <w:tcPr>
            <w:tcW w:type="dxa" w:w="1040"/>
          </w:tcPr>
          <w:p>
            <w:r>
              <w:t>biomarker_or_indirect_human_signal</w:t>
            </w:r>
          </w:p>
        </w:tc>
        <w:tc>
          <w:tcPr>
            <w:tcW w:type="dxa" w:w="1040"/>
          </w:tcPr>
          <w:p>
            <w:r>
              <w:t>6</w:t>
            </w:r>
          </w:p>
        </w:tc>
        <w:tc>
          <w:tcPr>
            <w:tcW w:type="dxa" w:w="1040"/>
          </w:tcPr>
          <w:p>
            <w:r>
              <w:t>0</w:t>
            </w:r>
          </w:p>
        </w:tc>
        <w:tc>
          <w:tcPr>
            <w:tcW w:type="dxa" w:w="1040"/>
          </w:tcPr>
          <w:p>
            <w:r>
              <w:t>0</w:t>
            </w:r>
          </w:p>
        </w:tc>
        <w:tc>
          <w:tcPr>
            <w:tcW w:type="dxa" w:w="1040"/>
          </w:tcPr>
          <w:p>
            <w:r>
              <w:t>1</w:t>
            </w:r>
          </w:p>
        </w:tc>
        <w:tc>
          <w:tcPr>
            <w:tcW w:type="dxa" w:w="1040"/>
          </w:tcPr>
          <w:p>
            <w:r>
              <w:t>0.0</w:t>
            </w:r>
          </w:p>
        </w:tc>
      </w:tr>
      <w:tr>
        <w:tc>
          <w:tcPr>
            <w:tcW w:type="dxa" w:w="1040"/>
          </w:tcPr>
          <w:p>
            <w:r>
              <w:t>10</w:t>
            </w:r>
          </w:p>
        </w:tc>
        <w:tc>
          <w:tcPr>
            <w:tcW w:type="dxa" w:w="1040"/>
          </w:tcPr>
          <w:p>
            <w:r>
              <w:t>metformin</w:t>
            </w:r>
          </w:p>
        </w:tc>
        <w:tc>
          <w:tcPr>
            <w:tcW w:type="dxa" w:w="1040"/>
          </w:tcPr>
          <w:p>
            <w:r>
              <w:t>12.39</w:t>
            </w:r>
          </w:p>
        </w:tc>
        <w:tc>
          <w:tcPr>
            <w:tcW w:type="dxa" w:w="1040"/>
          </w:tcPr>
          <w:p>
            <w:r>
              <w:t>biomarker_or_indirect_human_signal</w:t>
            </w:r>
          </w:p>
        </w:tc>
        <w:tc>
          <w:tcPr>
            <w:tcW w:type="dxa" w:w="1040"/>
          </w:tcPr>
          <w:p>
            <w:r>
              <w:t>1</w:t>
            </w:r>
          </w:p>
        </w:tc>
        <w:tc>
          <w:tcPr>
            <w:tcW w:type="dxa" w:w="1040"/>
          </w:tcPr>
          <w:p>
            <w:r>
              <w:t>1</w:t>
            </w:r>
          </w:p>
        </w:tc>
        <w:tc>
          <w:tcPr>
            <w:tcW w:type="dxa" w:w="1040"/>
          </w:tcPr>
          <w:p>
            <w:r>
              <w:t>0</w:t>
            </w:r>
          </w:p>
        </w:tc>
        <w:tc>
          <w:tcPr>
            <w:tcW w:type="dxa" w:w="1040"/>
          </w:tcPr>
          <w:p>
            <w:r>
              <w:t>2</w:t>
            </w:r>
          </w:p>
        </w:tc>
        <w:tc>
          <w:tcPr>
            <w:tcW w:type="dxa" w:w="1040"/>
          </w:tcPr>
          <w:p>
            <w:r>
              <w:t>0.13</w:t>
            </w:r>
          </w:p>
        </w:tc>
      </w:tr>
      <w:tr>
        <w:tc>
          <w:tcPr>
            <w:tcW w:type="dxa" w:w="1040"/>
          </w:tcPr>
          <w:p>
            <w:r>
              <w:t>11</w:t>
            </w:r>
          </w:p>
        </w:tc>
        <w:tc>
          <w:tcPr>
            <w:tcW w:type="dxa" w:w="1040"/>
          </w:tcPr>
          <w:p>
            <w:r>
              <w:t>sleep_circadian</w:t>
            </w:r>
          </w:p>
        </w:tc>
        <w:tc>
          <w:tcPr>
            <w:tcW w:type="dxa" w:w="1040"/>
          </w:tcPr>
          <w:p>
            <w:r>
              <w:t>10.45</w:t>
            </w:r>
          </w:p>
        </w:tc>
        <w:tc>
          <w:tcPr>
            <w:tcW w:type="dxa" w:w="1040"/>
          </w:tcPr>
          <w:p>
            <w:r>
              <w:t>biomarker_or_indirect_human_signal</w:t>
            </w:r>
          </w:p>
        </w:tc>
        <w:tc>
          <w:tcPr>
            <w:tcW w:type="dxa" w:w="1040"/>
          </w:tcPr>
          <w:p>
            <w:r>
              <w:t>1</w:t>
            </w:r>
          </w:p>
        </w:tc>
        <w:tc>
          <w:tcPr>
            <w:tcW w:type="dxa" w:w="1040"/>
          </w:tcPr>
          <w:p>
            <w:r>
              <w:t>1</w:t>
            </w:r>
          </w:p>
        </w:tc>
        <w:tc>
          <w:tcPr>
            <w:tcW w:type="dxa" w:w="1040"/>
          </w:tcPr>
          <w:p>
            <w:r>
              <w:t>0</w:t>
            </w:r>
          </w:p>
        </w:tc>
        <w:tc>
          <w:tcPr>
            <w:tcW w:type="dxa" w:w="1040"/>
          </w:tcPr>
          <w:p>
            <w:r>
              <w:t>0</w:t>
            </w:r>
          </w:p>
        </w:tc>
        <w:tc>
          <w:tcPr>
            <w:tcW w:type="dxa" w:w="1040"/>
          </w:tcPr>
          <w:p>
            <w:r>
              <w:t>0.0</w:t>
            </w:r>
          </w:p>
        </w:tc>
      </w:tr>
      <w:tr>
        <w:tc>
          <w:tcPr>
            <w:tcW w:type="dxa" w:w="1040"/>
          </w:tcPr>
          <w:p>
            <w:r>
              <w:t>12</w:t>
            </w:r>
          </w:p>
        </w:tc>
        <w:tc>
          <w:tcPr>
            <w:tcW w:type="dxa" w:w="1040"/>
          </w:tcPr>
          <w:p>
            <w:r>
              <w:t>controversial</w:t>
            </w:r>
          </w:p>
        </w:tc>
        <w:tc>
          <w:tcPr>
            <w:tcW w:type="dxa" w:w="1040"/>
          </w:tcPr>
          <w:p>
            <w:r>
              <w:t>6.88</w:t>
            </w:r>
          </w:p>
        </w:tc>
        <w:tc>
          <w:tcPr>
            <w:tcW w:type="dxa" w:w="1040"/>
          </w:tcPr>
          <w:p>
            <w:r>
              <w:t>biomarker_or_indirect_human_signal</w:t>
            </w:r>
          </w:p>
        </w:tc>
        <w:tc>
          <w:tcPr>
            <w:tcW w:type="dxa" w:w="1040"/>
          </w:tcPr>
          <w:p>
            <w:r>
              <w:t>2</w:t>
            </w:r>
          </w:p>
        </w:tc>
        <w:tc>
          <w:tcPr>
            <w:tcW w:type="dxa" w:w="1040"/>
          </w:tcPr>
          <w:p>
            <w:r>
              <w:t>0</w:t>
            </w:r>
          </w:p>
        </w:tc>
        <w:tc>
          <w:tcPr>
            <w:tcW w:type="dxa" w:w="1040"/>
          </w:tcPr>
          <w:p>
            <w:r>
              <w:t>0</w:t>
            </w:r>
          </w:p>
        </w:tc>
        <w:tc>
          <w:tcPr>
            <w:tcW w:type="dxa" w:w="1040"/>
          </w:tcPr>
          <w:p>
            <w:r>
              <w:t>2</w:t>
            </w:r>
          </w:p>
        </w:tc>
        <w:tc>
          <w:tcPr>
            <w:tcW w:type="dxa" w:w="1040"/>
          </w:tcPr>
          <w:p>
            <w:r>
              <w:t>0.41</w:t>
            </w:r>
          </w:p>
        </w:tc>
      </w:tr>
      <w:tr>
        <w:tc>
          <w:tcPr>
            <w:tcW w:type="dxa" w:w="1040"/>
          </w:tcPr>
          <w:p>
            <w:r>
              <w:t>13</w:t>
            </w:r>
          </w:p>
        </w:tc>
        <w:tc>
          <w:tcPr>
            <w:tcW w:type="dxa" w:w="1040"/>
          </w:tcPr>
          <w:p>
            <w:r>
              <w:t>reprogramming</w:t>
            </w:r>
          </w:p>
        </w:tc>
        <w:tc>
          <w:tcPr>
            <w:tcW w:type="dxa" w:w="1040"/>
          </w:tcPr>
          <w:p>
            <w:r>
              <w:t>5.91</w:t>
            </w:r>
          </w:p>
        </w:tc>
        <w:tc>
          <w:tcPr>
            <w:tcW w:type="dxa" w:w="1040"/>
          </w:tcPr>
          <w:p>
            <w:r>
              <w:t>biomarker_or_indirect_human_signal</w:t>
            </w:r>
          </w:p>
        </w:tc>
        <w:tc>
          <w:tcPr>
            <w:tcW w:type="dxa" w:w="1040"/>
          </w:tcPr>
          <w:p>
            <w:r>
              <w:t>0</w:t>
            </w:r>
          </w:p>
        </w:tc>
        <w:tc>
          <w:tcPr>
            <w:tcW w:type="dxa" w:w="1040"/>
          </w:tcPr>
          <w:p>
            <w:r>
              <w:t>0</w:t>
            </w:r>
          </w:p>
        </w:tc>
        <w:tc>
          <w:tcPr>
            <w:tcW w:type="dxa" w:w="1040"/>
          </w:tcPr>
          <w:p>
            <w:r>
              <w:t>0</w:t>
            </w:r>
          </w:p>
        </w:tc>
        <w:tc>
          <w:tcPr>
            <w:tcW w:type="dxa" w:w="1040"/>
          </w:tcPr>
          <w:p>
            <w:r>
              <w:t>1</w:t>
            </w:r>
          </w:p>
        </w:tc>
        <w:tc>
          <w:tcPr>
            <w:tcW w:type="dxa" w:w="1040"/>
          </w:tcPr>
          <w:p>
            <w:r>
              <w:t>0.77</w:t>
            </w:r>
          </w:p>
        </w:tc>
      </w:tr>
      <w:tr>
        <w:tc>
          <w:tcPr>
            <w:tcW w:type="dxa" w:w="1040"/>
          </w:tcPr>
          <w:p>
            <w:r>
              <w:t>14</w:t>
            </w:r>
          </w:p>
        </w:tc>
        <w:tc>
          <w:tcPr>
            <w:tcW w:type="dxa" w:w="1040"/>
          </w:tcPr>
          <w:p>
            <w:r>
              <w:t>stem_cell</w:t>
            </w:r>
          </w:p>
        </w:tc>
        <w:tc>
          <w:tcPr>
            <w:tcW w:type="dxa" w:w="1040"/>
          </w:tcPr>
          <w:p>
            <w:r>
              <w:t>1.68</w:t>
            </w:r>
          </w:p>
        </w:tc>
        <w:tc>
          <w:tcPr>
            <w:tcW w:type="dxa" w:w="1040"/>
          </w:tcPr>
          <w:p>
            <w:r>
              <w:t>low_directness_or_speculative</w:t>
            </w:r>
          </w:p>
        </w:tc>
        <w:tc>
          <w:tcPr>
            <w:tcW w:type="dxa" w:w="1040"/>
          </w:tcPr>
          <w:p>
            <w:r>
              <w:t>0</w:t>
            </w:r>
          </w:p>
        </w:tc>
        <w:tc>
          <w:tcPr>
            <w:tcW w:type="dxa" w:w="1040"/>
          </w:tcPr>
          <w:p>
            <w:r>
              <w:t>0</w:t>
            </w:r>
          </w:p>
        </w:tc>
        <w:tc>
          <w:tcPr>
            <w:tcW w:type="dxa" w:w="1040"/>
          </w:tcPr>
          <w:p>
            <w:r>
              <w:t>0</w:t>
            </w:r>
          </w:p>
        </w:tc>
        <w:tc>
          <w:tcPr>
            <w:tcW w:type="dxa" w:w="1040"/>
          </w:tcPr>
          <w:p>
            <w:r>
              <w:t>0</w:t>
            </w:r>
          </w:p>
        </w:tc>
        <w:tc>
          <w:tcPr>
            <w:tcW w:type="dxa" w:w="1040"/>
          </w:tcPr>
          <w:p>
            <w:r>
              <w:t>0.41</w:t>
            </w:r>
          </w:p>
        </w:tc>
      </w:tr>
    </w:tbl>
    <w:p>
      <w:r>
        <w:rPr>
          <w:rFonts w:ascii="Times New Roman" w:hAnsi="Times New Roman"/>
        </w:rPr>
        <w:t>Table 2. Priority human full-text verification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Title</w:t>
            </w:r>
          </w:p>
        </w:tc>
        <w:tc>
          <w:tcPr>
            <w:tcW w:type="dxa" w:w="2340"/>
          </w:tcPr>
          <w:p>
            <w:r>
              <w:t>Source Text Type</w:t>
            </w:r>
          </w:p>
        </w:tc>
        <w:tc>
          <w:tcPr>
            <w:tcW w:type="dxa" w:w="2340"/>
          </w:tcPr>
          <w:p>
            <w:r>
              <w:t>Verification Status</w:t>
            </w:r>
          </w:p>
        </w:tc>
        <w:tc>
          <w:tcPr>
            <w:tcW w:type="dxa" w:w="2340"/>
          </w:tcPr>
          <w:p>
            <w:r>
              <w:t>Provisional Full Text Eligibility</w:t>
            </w:r>
          </w:p>
        </w:tc>
      </w:tr>
      <w:tr>
        <w:tc>
          <w:tcPr>
            <w:tcW w:type="dxa" w:w="2340"/>
          </w:tcPr>
          <w:p>
            <w:r>
              <w:t>Baseline characteristics of the SINgapore GERiatric Intervention Study to Reduce Cognitive Decline and Physical Frailty (SINGER) multidomain dementia prevention randomized controlled trial and insights from the recruitment process.</w:t>
            </w:r>
          </w:p>
        </w:tc>
        <w:tc>
          <w:tcPr>
            <w:tcW w:type="dxa" w:w="2340"/>
          </w:tcPr>
          <w:p>
            <w:r>
              <w:t>pmc_open_full_text</w:t>
            </w:r>
          </w:p>
        </w:tc>
        <w:tc>
          <w:tcPr>
            <w:tcW w:type="dxa" w:w="2340"/>
          </w:tcPr>
          <w:p>
            <w:r>
              <w:t>open_full_text_verified</w:t>
            </w:r>
          </w:p>
        </w:tc>
        <w:tc>
          <w:tcPr>
            <w:tcW w:type="dxa" w:w="2340"/>
          </w:tcPr>
          <w:p>
            <w:r>
              <w:t>eligible_pending_manual_confirmation</w:t>
            </w:r>
          </w:p>
        </w:tc>
      </w:tr>
      <w:tr>
        <w:tc>
          <w:tcPr>
            <w:tcW w:type="dxa" w:w="2340"/>
          </w:tcPr>
          <w:p>
            <w:r>
              <w:t>Reducing frailty in frail people with multiple sclerosis: Feasibility of a 6-week multimodal exercise training program.</w:t>
            </w:r>
          </w:p>
        </w:tc>
        <w:tc>
          <w:tcPr>
            <w:tcW w:type="dxa" w:w="2340"/>
          </w:tcPr>
          <w:p>
            <w:r>
              <w:t>pmc_open_full_text</w:t>
            </w:r>
          </w:p>
        </w:tc>
        <w:tc>
          <w:tcPr>
            <w:tcW w:type="dxa" w:w="2340"/>
          </w:tcPr>
          <w:p>
            <w:r>
              <w:t>open_full_text_verified</w:t>
            </w:r>
          </w:p>
        </w:tc>
        <w:tc>
          <w:tcPr>
            <w:tcW w:type="dxa" w:w="2340"/>
          </w:tcPr>
          <w:p>
            <w:r>
              <w:t>eligible_pending_manual_confirmation</w:t>
            </w:r>
          </w:p>
        </w:tc>
      </w:tr>
      <w:tr>
        <w:tc>
          <w:tcPr>
            <w:tcW w:type="dxa" w:w="2340"/>
          </w:tcPr>
          <w:p>
            <w:r>
              <w:t>Effect of gut microbiome modulation on muscle function and cognition: the PROMOTe randomised controlled trial.</w:t>
            </w:r>
          </w:p>
        </w:tc>
        <w:tc>
          <w:tcPr>
            <w:tcW w:type="dxa" w:w="2340"/>
          </w:tcPr>
          <w:p>
            <w:r>
              <w:t>pubmed_abstract</w:t>
            </w:r>
          </w:p>
        </w:tc>
        <w:tc>
          <w:tcPr>
            <w:tcW w:type="dxa" w:w="2340"/>
          </w:tcPr>
          <w:p>
            <w:r>
              <w:t>abstract_verified_full_text_pending</w:t>
            </w:r>
          </w:p>
        </w:tc>
        <w:tc>
          <w:tcPr>
            <w:tcW w:type="dxa" w:w="2340"/>
          </w:tcPr>
          <w:p>
            <w:r>
              <w:t>eligible_pending_manual_confirmation</w:t>
            </w:r>
          </w:p>
        </w:tc>
      </w:tr>
      <w:tr>
        <w:tc>
          <w:tcPr>
            <w:tcW w:type="dxa" w:w="2340"/>
          </w:tcPr>
          <w:p>
            <w:r>
              <w:t>Assessing the Clinical Effectiveness of an Exergame-Based Exercise Training Program Using Ring Fit Adventure to Prevent and Postpone Frailty and Sarcopenia Among Older Adults in Rural Long-Term Care Facilities: Randomized Controlled Trial.</w:t>
            </w:r>
          </w:p>
        </w:tc>
        <w:tc>
          <w:tcPr>
            <w:tcW w:type="dxa" w:w="2340"/>
          </w:tcPr>
          <w:p>
            <w:r>
              <w:t>pubmed_abstract</w:t>
            </w:r>
          </w:p>
        </w:tc>
        <w:tc>
          <w:tcPr>
            <w:tcW w:type="dxa" w:w="2340"/>
          </w:tcPr>
          <w:p>
            <w:r>
              <w:t>abstract_verified_full_text_pending</w:t>
            </w:r>
          </w:p>
        </w:tc>
        <w:tc>
          <w:tcPr>
            <w:tcW w:type="dxa" w:w="2340"/>
          </w:tcPr>
          <w:p>
            <w:r>
              <w:t>eligible_pending_manual_confirmation</w:t>
            </w:r>
          </w:p>
        </w:tc>
      </w:tr>
      <w:tr>
        <w:tc>
          <w:tcPr>
            <w:tcW w:type="dxa" w:w="2340"/>
          </w:tcPr>
          <w:p>
            <w:r>
              <w:t>Effects of Resistance Exercise Training on Cognitive Function and Physical Performance in Cognitive Frailty: A Randomized Controlled Trial</w:t>
            </w:r>
          </w:p>
        </w:tc>
        <w:tc>
          <w:tcPr>
            <w:tcW w:type="dxa" w:w="2340"/>
          </w:tcPr>
          <w:p>
            <w:r>
              <w:t>not_retrieved</w:t>
            </w:r>
          </w:p>
        </w:tc>
        <w:tc>
          <w:tcPr>
            <w:tcW w:type="dxa" w:w="2340"/>
          </w:tcPr>
          <w:p>
            <w:r>
              <w:t>not_verified_source_unavailable</w:t>
            </w:r>
          </w:p>
        </w:tc>
        <w:tc>
          <w:tcPr>
            <w:tcW w:type="dxa" w:w="2340"/>
          </w:tcPr>
          <w:p>
            <w:r>
              <w:t>uncertain_or_pending_source_review</w:t>
            </w:r>
          </w:p>
        </w:tc>
      </w:tr>
      <w:tr>
        <w:tc>
          <w:tcPr>
            <w:tcW w:type="dxa" w:w="2340"/>
          </w:tcPr>
          <w:p>
            <w:r>
              <w:t>Interaction between physical activity and deficit-based frailty on all-cause mortality in older adults: a prospective study of five population-based cohorts.</w:t>
            </w:r>
          </w:p>
        </w:tc>
        <w:tc>
          <w:tcPr>
            <w:tcW w:type="dxa" w:w="2340"/>
          </w:tcPr>
          <w:p>
            <w:r>
              <w:t>pmc_open_full_text</w:t>
            </w:r>
          </w:p>
        </w:tc>
        <w:tc>
          <w:tcPr>
            <w:tcW w:type="dxa" w:w="2340"/>
          </w:tcPr>
          <w:p>
            <w:r>
              <w:t>open_full_text_verified</w:t>
            </w:r>
          </w:p>
        </w:tc>
        <w:tc>
          <w:tcPr>
            <w:tcW w:type="dxa" w:w="2340"/>
          </w:tcPr>
          <w:p>
            <w:r>
              <w:t>eligible_pending_manual_confirmation</w:t>
            </w:r>
          </w:p>
        </w:tc>
      </w:tr>
      <w:tr>
        <w:tc>
          <w:tcPr>
            <w:tcW w:type="dxa" w:w="2340"/>
          </w:tcPr>
          <w:p>
            <w:r>
              <w:t>Fasting-mimicking diet causes hepatic and blood markers changes indicating reduced biological age and disease risk.</w:t>
            </w:r>
          </w:p>
        </w:tc>
        <w:tc>
          <w:tcPr>
            <w:tcW w:type="dxa" w:w="2340"/>
          </w:tcPr>
          <w:p>
            <w:r>
              <w:t>pubmed_abstract</w:t>
            </w:r>
          </w:p>
        </w:tc>
        <w:tc>
          <w:tcPr>
            <w:tcW w:type="dxa" w:w="2340"/>
          </w:tcPr>
          <w:p>
            <w:r>
              <w:t>abstract_verified_full_text_pending</w:t>
            </w:r>
          </w:p>
        </w:tc>
        <w:tc>
          <w:tcPr>
            <w:tcW w:type="dxa" w:w="2340"/>
          </w:tcPr>
          <w:p>
            <w:r>
              <w:t>eligible_pending_manual_confirmation</w:t>
            </w:r>
          </w:p>
        </w:tc>
      </w:tr>
      <w:tr>
        <w:tc>
          <w:tcPr>
            <w:tcW w:type="dxa" w:w="2340"/>
          </w:tcPr>
          <w:p>
            <w:r>
              <w:t>Topical rapamycin reduces markers of senescence and aging in human skin: an exploratory, prospective, randomized trial.</w:t>
            </w:r>
          </w:p>
        </w:tc>
        <w:tc>
          <w:tcPr>
            <w:tcW w:type="dxa" w:w="2340"/>
          </w:tcPr>
          <w:p>
            <w:r>
              <w:t>pubmed_abstract</w:t>
            </w:r>
          </w:p>
        </w:tc>
        <w:tc>
          <w:tcPr>
            <w:tcW w:type="dxa" w:w="2340"/>
          </w:tcPr>
          <w:p>
            <w:r>
              <w:t>abstract_verified_full_text_pending</w:t>
            </w:r>
          </w:p>
        </w:tc>
        <w:tc>
          <w:tcPr>
            <w:tcW w:type="dxa" w:w="2340"/>
          </w:tcPr>
          <w:p>
            <w:r>
              <w:t>eligible_pending_manual_confirmation</w:t>
            </w:r>
          </w:p>
        </w:tc>
      </w:tr>
      <w:tr>
        <w:tc>
          <w:tcPr>
            <w:tcW w:type="dxa" w:w="2340"/>
          </w:tcPr>
          <w:p>
            <w:r>
              <w:t>Influence of rapamycin on safety and healthspan metrics after one year: PEARL trial results.</w:t>
            </w:r>
          </w:p>
        </w:tc>
        <w:tc>
          <w:tcPr>
            <w:tcW w:type="dxa" w:w="2340"/>
          </w:tcPr>
          <w:p>
            <w:r>
              <w:t>pubmed_abstract</w:t>
            </w:r>
          </w:p>
        </w:tc>
        <w:tc>
          <w:tcPr>
            <w:tcW w:type="dxa" w:w="2340"/>
          </w:tcPr>
          <w:p>
            <w:r>
              <w:t>abstract_verified_full_text_pending</w:t>
            </w:r>
          </w:p>
        </w:tc>
        <w:tc>
          <w:tcPr>
            <w:tcW w:type="dxa" w:w="2340"/>
          </w:tcPr>
          <w:p>
            <w:r>
              <w:t>eligible_pending_manual_confirmation</w:t>
            </w:r>
          </w:p>
        </w:tc>
      </w:tr>
      <w:tr>
        <w:tc>
          <w:tcPr>
            <w:tcW w:type="dxa" w:w="2340"/>
          </w:tcPr>
          <w:p>
            <w:r>
              <w:t>A Periodic Diet that Mimics Fasting Promotes Multi-System Regeneration, Enhanced Cognitive Performance, and Healthspan.</w:t>
            </w:r>
          </w:p>
        </w:tc>
        <w:tc>
          <w:tcPr>
            <w:tcW w:type="dxa" w:w="2340"/>
          </w:tcPr>
          <w:p>
            <w:r>
              <w:t>pubmed_abstract</w:t>
            </w:r>
          </w:p>
        </w:tc>
        <w:tc>
          <w:tcPr>
            <w:tcW w:type="dxa" w:w="2340"/>
          </w:tcPr>
          <w:p>
            <w:r>
              <w:t>abstract_verified_full_text_pending</w:t>
            </w:r>
          </w:p>
        </w:tc>
        <w:tc>
          <w:tcPr>
            <w:tcW w:type="dxa" w:w="2340"/>
          </w:tcPr>
          <w:p>
            <w:r>
              <w:t>eligible_pending_manual_confirmation</w:t>
            </w:r>
          </w:p>
        </w:tc>
      </w:tr>
      <w:tr>
        <w:tc>
          <w:tcPr>
            <w:tcW w:type="dxa" w:w="2340"/>
          </w:tcPr>
          <w:p>
            <w:r>
              <w:t>RESISTANCE TRAINING AND CO-SUPPLEMENTATION WITH CREATINE AND PROTEIN IN OLDER SUBJECTS WITH FRAILTY</w:t>
            </w:r>
          </w:p>
        </w:tc>
        <w:tc>
          <w:tcPr>
            <w:tcW w:type="dxa" w:w="2340"/>
          </w:tcPr>
          <w:p>
            <w:r>
              <w:t>not_retrieved</w:t>
            </w:r>
          </w:p>
        </w:tc>
        <w:tc>
          <w:tcPr>
            <w:tcW w:type="dxa" w:w="2340"/>
          </w:tcPr>
          <w:p>
            <w:r>
              <w:t>not_verified_source_unavailable</w:t>
            </w:r>
          </w:p>
        </w:tc>
        <w:tc>
          <w:tcPr>
            <w:tcW w:type="dxa" w:w="2340"/>
          </w:tcPr>
          <w:p>
            <w:r>
              <w:t>uncertain_or_pending_source_review</w:t>
            </w:r>
          </w:p>
        </w:tc>
      </w:tr>
      <w:tr>
        <w:tc>
          <w:tcPr>
            <w:tcW w:type="dxa" w:w="2340"/>
          </w:tcPr>
          <w:p>
            <w:r>
              <w:t>Caloric restriction and time-restricted eating in older adults with overweight or obesity: The Health, Aging, and Later-Life Outcomes Pilot Study.</w:t>
            </w:r>
          </w:p>
        </w:tc>
        <w:tc>
          <w:tcPr>
            <w:tcW w:type="dxa" w:w="2340"/>
          </w:tcPr>
          <w:p>
            <w:r>
              <w:t>pmc_open_full_text</w:t>
            </w:r>
          </w:p>
        </w:tc>
        <w:tc>
          <w:tcPr>
            <w:tcW w:type="dxa" w:w="2340"/>
          </w:tcPr>
          <w:p>
            <w:r>
              <w:t>open_full_text_verified</w:t>
            </w:r>
          </w:p>
        </w:tc>
        <w:tc>
          <w:tcPr>
            <w:tcW w:type="dxa" w:w="2340"/>
          </w:tcPr>
          <w:p>
            <w:r>
              <w:t>eligible_pending_manual_confirmation</w:t>
            </w:r>
          </w:p>
        </w:tc>
      </w:tr>
    </w:tbl>
    <w:p>
      <w:r>
        <w:rPr>
          <w:rFonts w:ascii="Times New Roman" w:hAnsi="Times New Roman"/>
        </w:rPr>
        <w:t>Table 3. Preliminary risk-of-bias prompts for priority human records.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Title</w:t>
            </w:r>
          </w:p>
        </w:tc>
        <w:tc>
          <w:tcPr>
            <w:tcW w:type="dxa" w:w="1560"/>
          </w:tcPr>
          <w:p>
            <w:r>
              <w:t>Rob Randomization</w:t>
            </w:r>
          </w:p>
        </w:tc>
        <w:tc>
          <w:tcPr>
            <w:tcW w:type="dxa" w:w="1560"/>
          </w:tcPr>
          <w:p>
            <w:r>
              <w:t>Rob Blinding</w:t>
            </w:r>
          </w:p>
        </w:tc>
        <w:tc>
          <w:tcPr>
            <w:tcW w:type="dxa" w:w="1560"/>
          </w:tcPr>
          <w:p>
            <w:r>
              <w:t>Rob Confounding</w:t>
            </w:r>
          </w:p>
        </w:tc>
        <w:tc>
          <w:tcPr>
            <w:tcW w:type="dxa" w:w="1560"/>
          </w:tcPr>
          <w:p>
            <w:r>
              <w:t>Rob Outcome Measurement</w:t>
            </w:r>
          </w:p>
        </w:tc>
        <w:tc>
          <w:tcPr>
            <w:tcW w:type="dxa" w:w="1560"/>
          </w:tcPr>
          <w:p>
            <w:r>
              <w:t>Rob Overall</w:t>
            </w:r>
          </w:p>
        </w:tc>
      </w:tr>
      <w:tr>
        <w:tc>
          <w:tcPr>
            <w:tcW w:type="dxa" w:w="1560"/>
          </w:tcPr>
          <w:p>
            <w:r>
              <w:t>Baseline characteristics of the SINgapore GERiatric Intervention Study to Reduce Cognitive Decline and Physical Frailty (SINGER) multidomain dementia prevention randomized controlled trial and insights from the recruitment process.</w:t>
            </w:r>
          </w:p>
        </w:tc>
        <w:tc>
          <w:tcPr>
            <w:tcW w:type="dxa" w:w="1560"/>
          </w:tcPr>
          <w:p>
            <w:r>
              <w:t>low_concern</w:t>
            </w:r>
          </w:p>
        </w:tc>
        <w:tc>
          <w:tcPr>
            <w:tcW w:type="dxa" w:w="1560"/>
          </w:tcPr>
          <w:p>
            <w:r>
              <w:t>some_concern</w:t>
            </w:r>
          </w:p>
        </w:tc>
        <w:tc>
          <w:tcPr>
            <w:tcW w:type="dxa" w:w="1560"/>
          </w:tcPr>
          <w:p>
            <w:r>
              <w:t>low_concern_rct_design</w:t>
            </w:r>
          </w:p>
        </w:tc>
        <w:tc>
          <w:tcPr>
            <w:tcW w:type="dxa" w:w="1560"/>
          </w:tcPr>
          <w:p>
            <w:r>
              <w:t>low_or_some_concern</w:t>
            </w:r>
          </w:p>
        </w:tc>
        <w:tc>
          <w:tcPr>
            <w:tcW w:type="dxa" w:w="1560"/>
          </w:tcPr>
          <w:p>
            <w:r>
              <w:t>some_concern</w:t>
            </w:r>
          </w:p>
        </w:tc>
      </w:tr>
      <w:tr>
        <w:tc>
          <w:tcPr>
            <w:tcW w:type="dxa" w:w="1560"/>
          </w:tcPr>
          <w:p>
            <w:r>
              <w:t>Reducing frailty in frail people with multiple sclerosis: Feasibility of a 6-week multimodal exercise training program.</w:t>
            </w:r>
          </w:p>
        </w:tc>
        <w:tc>
          <w:tcPr>
            <w:tcW w:type="dxa" w:w="1560"/>
          </w:tcPr>
          <w:p>
            <w:r>
              <w:t>low_concern</w:t>
            </w:r>
          </w:p>
        </w:tc>
        <w:tc>
          <w:tcPr>
            <w:tcW w:type="dxa" w:w="1560"/>
          </w:tcPr>
          <w:p>
            <w:r>
              <w:t>low_concern</w:t>
            </w:r>
          </w:p>
        </w:tc>
        <w:tc>
          <w:tcPr>
            <w:tcW w:type="dxa" w:w="1560"/>
          </w:tcPr>
          <w:p>
            <w:r>
              <w:t>low_concern_rct_design</w:t>
            </w:r>
          </w:p>
        </w:tc>
        <w:tc>
          <w:tcPr>
            <w:tcW w:type="dxa" w:w="1560"/>
          </w:tcPr>
          <w:p>
            <w:r>
              <w:t>low_or_some_concern</w:t>
            </w:r>
          </w:p>
        </w:tc>
        <w:tc>
          <w:tcPr>
            <w:tcW w:type="dxa" w:w="1560"/>
          </w:tcPr>
          <w:p>
            <w:r>
              <w:t>low_to_some_concern_pending_full_text_review</w:t>
            </w:r>
          </w:p>
        </w:tc>
      </w:tr>
      <w:tr>
        <w:tc>
          <w:tcPr>
            <w:tcW w:type="dxa" w:w="1560"/>
          </w:tcPr>
          <w:p>
            <w:r>
              <w:t>Effect of gut microbiome modulation on muscle function and cognition: the PROMOTe randomised controlled trial.</w:t>
            </w:r>
          </w:p>
        </w:tc>
        <w:tc>
          <w:tcPr>
            <w:tcW w:type="dxa" w:w="1560"/>
          </w:tcPr>
          <w:p>
            <w:r>
              <w:t>low_concern</w:t>
            </w:r>
          </w:p>
        </w:tc>
        <w:tc>
          <w:tcPr>
            <w:tcW w:type="dxa" w:w="1560"/>
          </w:tcPr>
          <w:p>
            <w:r>
              <w:t>low_concern</w:t>
            </w:r>
          </w:p>
        </w:tc>
        <w:tc>
          <w:tcPr>
            <w:tcW w:type="dxa" w:w="1560"/>
          </w:tcPr>
          <w:p>
            <w:r>
              <w:t>low_concern_rct_design</w:t>
            </w:r>
          </w:p>
        </w:tc>
        <w:tc>
          <w:tcPr>
            <w:tcW w:type="dxa" w:w="1560"/>
          </w:tcPr>
          <w:p>
            <w:r>
              <w:t>low_or_some_concern</w:t>
            </w:r>
          </w:p>
        </w:tc>
        <w:tc>
          <w:tcPr>
            <w:tcW w:type="dxa" w:w="1560"/>
          </w:tcPr>
          <w:p>
            <w:r>
              <w:t>low_to_some_concern_pending_full_text_review</w:t>
            </w:r>
          </w:p>
        </w:tc>
      </w:tr>
      <w:tr>
        <w:tc>
          <w:tcPr>
            <w:tcW w:type="dxa" w:w="1560"/>
          </w:tcPr>
          <w:p>
            <w:r>
              <w:t>Assessing the Clinical Effectiveness of an Exergame-Based Exercise Training Program Using Ring Fit Adventure to Prevent and Postpone Frailty and Sarcopenia Among Older Adults in Rural Long-Term Care Facilities: Randomized Controlled Trial.</w:t>
            </w:r>
          </w:p>
        </w:tc>
        <w:tc>
          <w:tcPr>
            <w:tcW w:type="dxa" w:w="1560"/>
          </w:tcPr>
          <w:p>
            <w:r>
              <w:t>low_concern</w:t>
            </w:r>
          </w:p>
        </w:tc>
        <w:tc>
          <w:tcPr>
            <w:tcW w:type="dxa" w:w="1560"/>
          </w:tcPr>
          <w:p>
            <w:r>
              <w:t>some_concern</w:t>
            </w:r>
          </w:p>
        </w:tc>
        <w:tc>
          <w:tcPr>
            <w:tcW w:type="dxa" w:w="1560"/>
          </w:tcPr>
          <w:p>
            <w:r>
              <w:t>low_concern_rct_design</w:t>
            </w:r>
          </w:p>
        </w:tc>
        <w:tc>
          <w:tcPr>
            <w:tcW w:type="dxa" w:w="1560"/>
          </w:tcPr>
          <w:p>
            <w:r>
              <w:t>low_or_some_concern</w:t>
            </w:r>
          </w:p>
        </w:tc>
        <w:tc>
          <w:tcPr>
            <w:tcW w:type="dxa" w:w="1560"/>
          </w:tcPr>
          <w:p>
            <w:r>
              <w:t>some_concern</w:t>
            </w:r>
          </w:p>
        </w:tc>
      </w:tr>
      <w:tr>
        <w:tc>
          <w:tcPr>
            <w:tcW w:type="dxa" w:w="1560"/>
          </w:tcPr>
          <w:p>
            <w:r>
              <w:t>Effects of Resistance Exercise Training on Cognitive Function and Physical Performance in Cognitive Frailty: A Randomized Controlled Trial</w:t>
            </w:r>
          </w:p>
        </w:tc>
        <w:tc>
          <w:tcPr>
            <w:tcW w:type="dxa" w:w="1560"/>
          </w:tcPr>
          <w:p>
            <w:r>
              <w:t>some_concern</w:t>
            </w:r>
          </w:p>
        </w:tc>
        <w:tc>
          <w:tcPr>
            <w:tcW w:type="dxa" w:w="1560"/>
          </w:tcPr>
          <w:p>
            <w:r>
              <w:t>some_concern</w:t>
            </w:r>
          </w:p>
        </w:tc>
        <w:tc>
          <w:tcPr>
            <w:tcW w:type="dxa" w:w="1560"/>
          </w:tcPr>
          <w:p>
            <w:r>
              <w:t>low_concern_rct_design</w:t>
            </w:r>
          </w:p>
        </w:tc>
        <w:tc>
          <w:tcPr>
            <w:tcW w:type="dxa" w:w="1560"/>
          </w:tcPr>
          <w:p>
            <w:r>
              <w:t>low_or_some_concern</w:t>
            </w:r>
          </w:p>
        </w:tc>
        <w:tc>
          <w:tcPr>
            <w:tcW w:type="dxa" w:w="1560"/>
          </w:tcPr>
          <w:p>
            <w:r>
              <w:t>some_concern</w:t>
            </w:r>
          </w:p>
        </w:tc>
      </w:tr>
      <w:tr>
        <w:tc>
          <w:tcPr>
            <w:tcW w:type="dxa" w:w="1560"/>
          </w:tcPr>
          <w:p>
            <w:r>
              <w:t>Interaction between physical activity and deficit-based frailty on all-cause mortality in older adults: a prospective study of five population-based cohorts.</w:t>
            </w:r>
          </w:p>
        </w:tc>
        <w:tc>
          <w:tcPr>
            <w:tcW w:type="dxa" w:w="1560"/>
          </w:tcPr>
          <w:p>
            <w:r>
              <w:t>not_applicable</w:t>
            </w:r>
          </w:p>
        </w:tc>
        <w:tc>
          <w:tcPr>
            <w:tcW w:type="dxa" w:w="1560"/>
          </w:tcPr>
          <w:p>
            <w:r>
              <w:t>not_applicable_or_unclear</w:t>
            </w:r>
          </w:p>
        </w:tc>
        <w:tc>
          <w:tcPr>
            <w:tcW w:type="dxa" w:w="1560"/>
          </w:tcPr>
          <w:p>
            <w:r>
              <w:t>some_concern_observational_confounding</w:t>
            </w:r>
          </w:p>
        </w:tc>
        <w:tc>
          <w:tcPr>
            <w:tcW w:type="dxa" w:w="1560"/>
          </w:tcPr>
          <w:p>
            <w:r>
              <w:t>low_or_some_concern</w:t>
            </w:r>
          </w:p>
        </w:tc>
        <w:tc>
          <w:tcPr>
            <w:tcW w:type="dxa" w:w="1560"/>
          </w:tcPr>
          <w:p>
            <w:r>
              <w:t>some_concern</w:t>
            </w:r>
          </w:p>
        </w:tc>
      </w:tr>
      <w:tr>
        <w:tc>
          <w:tcPr>
            <w:tcW w:type="dxa" w:w="1560"/>
          </w:tcPr>
          <w:p>
            <w:r>
              <w:t>Fasting-mimicking diet causes hepatic and blood markers changes indicating reduced biological age and disease risk.</w:t>
            </w:r>
          </w:p>
        </w:tc>
        <w:tc>
          <w:tcPr>
            <w:tcW w:type="dxa" w:w="1560"/>
          </w:tcPr>
          <w:p>
            <w:r>
              <w:t>low_concern</w:t>
            </w:r>
          </w:p>
        </w:tc>
        <w:tc>
          <w:tcPr>
            <w:tcW w:type="dxa" w:w="1560"/>
          </w:tcPr>
          <w:p>
            <w:r>
              <w:t>some_concern</w:t>
            </w:r>
          </w:p>
        </w:tc>
        <w:tc>
          <w:tcPr>
            <w:tcW w:type="dxa" w:w="1560"/>
          </w:tcPr>
          <w:p>
            <w:r>
              <w:t>low_concern_rct_design</w:t>
            </w:r>
          </w:p>
        </w:tc>
        <w:tc>
          <w:tcPr>
            <w:tcW w:type="dxa" w:w="1560"/>
          </w:tcPr>
          <w:p>
            <w:r>
              <w:t>low_or_some_concern</w:t>
            </w:r>
          </w:p>
        </w:tc>
        <w:tc>
          <w:tcPr>
            <w:tcW w:type="dxa" w:w="1560"/>
          </w:tcPr>
          <w:p>
            <w:r>
              <w:t>some_concern</w:t>
            </w:r>
          </w:p>
        </w:tc>
      </w:tr>
      <w:tr>
        <w:tc>
          <w:tcPr>
            <w:tcW w:type="dxa" w:w="1560"/>
          </w:tcPr>
          <w:p>
            <w:r>
              <w:t>Topical rapamycin reduces markers of senescence and aging in human skin: an exploratory, prospective, randomized trial.</w:t>
            </w:r>
          </w:p>
        </w:tc>
        <w:tc>
          <w:tcPr>
            <w:tcW w:type="dxa" w:w="1560"/>
          </w:tcPr>
          <w:p>
            <w:r>
              <w:t>some_concern</w:t>
            </w:r>
          </w:p>
        </w:tc>
        <w:tc>
          <w:tcPr>
            <w:tcW w:type="dxa" w:w="1560"/>
          </w:tcPr>
          <w:p>
            <w:r>
              <w:t>low_concern</w:t>
            </w:r>
          </w:p>
        </w:tc>
        <w:tc>
          <w:tcPr>
            <w:tcW w:type="dxa" w:w="1560"/>
          </w:tcPr>
          <w:p>
            <w:r>
              <w:t>low_concern_rct_design</w:t>
            </w:r>
          </w:p>
        </w:tc>
        <w:tc>
          <w:tcPr>
            <w:tcW w:type="dxa" w:w="1560"/>
          </w:tcPr>
          <w:p>
            <w:r>
              <w:t>low_or_some_concern</w:t>
            </w:r>
          </w:p>
        </w:tc>
        <w:tc>
          <w:tcPr>
            <w:tcW w:type="dxa" w:w="1560"/>
          </w:tcPr>
          <w:p>
            <w:r>
              <w:t>some_concern</w:t>
            </w:r>
          </w:p>
        </w:tc>
      </w:tr>
      <w:tr>
        <w:tc>
          <w:tcPr>
            <w:tcW w:type="dxa" w:w="1560"/>
          </w:tcPr>
          <w:p>
            <w:r>
              <w:t>Influence of rapamycin on safety and healthspan metrics after one year: PEARL trial results.</w:t>
            </w:r>
          </w:p>
        </w:tc>
        <w:tc>
          <w:tcPr>
            <w:tcW w:type="dxa" w:w="1560"/>
          </w:tcPr>
          <w:p>
            <w:r>
              <w:t>low_concern</w:t>
            </w:r>
          </w:p>
        </w:tc>
        <w:tc>
          <w:tcPr>
            <w:tcW w:type="dxa" w:w="1560"/>
          </w:tcPr>
          <w:p>
            <w:r>
              <w:t>low_concern</w:t>
            </w:r>
          </w:p>
        </w:tc>
        <w:tc>
          <w:tcPr>
            <w:tcW w:type="dxa" w:w="1560"/>
          </w:tcPr>
          <w:p>
            <w:r>
              <w:t>low_concern_rct_design</w:t>
            </w:r>
          </w:p>
        </w:tc>
        <w:tc>
          <w:tcPr>
            <w:tcW w:type="dxa" w:w="1560"/>
          </w:tcPr>
          <w:p>
            <w:r>
              <w:t>some_concern</w:t>
            </w:r>
          </w:p>
        </w:tc>
        <w:tc>
          <w:tcPr>
            <w:tcW w:type="dxa" w:w="1560"/>
          </w:tcPr>
          <w:p>
            <w:r>
              <w:t>low_to_some_concern_pending_full_text_review</w:t>
            </w:r>
          </w:p>
        </w:tc>
      </w:tr>
      <w:tr>
        <w:tc>
          <w:tcPr>
            <w:tcW w:type="dxa" w:w="1560"/>
          </w:tcPr>
          <w:p>
            <w:r>
              <w:t>A Periodic Diet that Mimics Fasting Promotes Multi-System Regeneration, Enhanced Cognitive Performance, and Healthspan.</w:t>
            </w:r>
          </w:p>
        </w:tc>
        <w:tc>
          <w:tcPr>
            <w:tcW w:type="dxa" w:w="1560"/>
          </w:tcPr>
          <w:p>
            <w:r>
              <w:t>some_concern</w:t>
            </w:r>
          </w:p>
        </w:tc>
        <w:tc>
          <w:tcPr>
            <w:tcW w:type="dxa" w:w="1560"/>
          </w:tcPr>
          <w:p>
            <w:r>
              <w:t>some_concern</w:t>
            </w:r>
          </w:p>
        </w:tc>
        <w:tc>
          <w:tcPr>
            <w:tcW w:type="dxa" w:w="1560"/>
          </w:tcPr>
          <w:p>
            <w:r>
              <w:t>low_concern_rct_design</w:t>
            </w:r>
          </w:p>
        </w:tc>
        <w:tc>
          <w:tcPr>
            <w:tcW w:type="dxa" w:w="1560"/>
          </w:tcPr>
          <w:p>
            <w:r>
              <w:t>some_concern</w:t>
            </w:r>
          </w:p>
        </w:tc>
        <w:tc>
          <w:tcPr>
            <w:tcW w:type="dxa" w:w="1560"/>
          </w:tcPr>
          <w:p>
            <w:r>
              <w:t>some_concern</w:t>
            </w:r>
          </w:p>
        </w:tc>
      </w:tr>
      <w:tr>
        <w:tc>
          <w:tcPr>
            <w:tcW w:type="dxa" w:w="1560"/>
          </w:tcPr>
          <w:p>
            <w:r>
              <w:t>RESISTANCE TRAINING AND CO-SUPPLEMENTATION WITH CREATINE AND PROTEIN IN OLDER SUBJECTS WITH FRAILTY</w:t>
            </w:r>
          </w:p>
        </w:tc>
        <w:tc>
          <w:tcPr>
            <w:tcW w:type="dxa" w:w="1560"/>
          </w:tcPr>
          <w:p>
            <w:r>
              <w:t>unclear_or_not_applicable</w:t>
            </w:r>
          </w:p>
        </w:tc>
        <w:tc>
          <w:tcPr>
            <w:tcW w:type="dxa" w:w="1560"/>
          </w:tcPr>
          <w:p>
            <w:r>
              <w:t>unclear_or_not_applicable</w:t>
            </w:r>
          </w:p>
        </w:tc>
        <w:tc>
          <w:tcPr>
            <w:tcW w:type="dxa" w:w="1560"/>
          </w:tcPr>
          <w:p>
            <w:r>
              <w:t>serious_or_unclear</w:t>
            </w:r>
          </w:p>
        </w:tc>
        <w:tc>
          <w:tcPr>
            <w:tcW w:type="dxa" w:w="1560"/>
          </w:tcPr>
          <w:p>
            <w:r>
              <w:t>low_or_some_concern</w:t>
            </w:r>
          </w:p>
        </w:tc>
        <w:tc>
          <w:tcPr>
            <w:tcW w:type="dxa" w:w="1560"/>
          </w:tcPr>
          <w:p>
            <w:r>
              <w:t>serious_or_unclear</w:t>
            </w:r>
          </w:p>
        </w:tc>
      </w:tr>
      <w:tr>
        <w:tc>
          <w:tcPr>
            <w:tcW w:type="dxa" w:w="1560"/>
          </w:tcPr>
          <w:p>
            <w:r>
              <w:t>Caloric restriction and time-restricted eating in older adults with overweight or obesity: The Health, Aging, and Later-Life Outcomes Pilot Study.</w:t>
            </w:r>
          </w:p>
        </w:tc>
        <w:tc>
          <w:tcPr>
            <w:tcW w:type="dxa" w:w="1560"/>
          </w:tcPr>
          <w:p>
            <w:r>
              <w:t>low_concern</w:t>
            </w:r>
          </w:p>
        </w:tc>
        <w:tc>
          <w:tcPr>
            <w:tcW w:type="dxa" w:w="1560"/>
          </w:tcPr>
          <w:p>
            <w:r>
              <w:t>low_concern</w:t>
            </w:r>
          </w:p>
        </w:tc>
        <w:tc>
          <w:tcPr>
            <w:tcW w:type="dxa" w:w="1560"/>
          </w:tcPr>
          <w:p>
            <w:r>
              <w:t>low_concern_rct_design</w:t>
            </w:r>
          </w:p>
        </w:tc>
        <w:tc>
          <w:tcPr>
            <w:tcW w:type="dxa" w:w="1560"/>
          </w:tcPr>
          <w:p>
            <w:r>
              <w:t>some_concern</w:t>
            </w:r>
          </w:p>
        </w:tc>
        <w:tc>
          <w:tcPr>
            <w:tcW w:type="dxa" w:w="1560"/>
          </w:tcPr>
          <w:p>
            <w:r>
              <w:t>low_to_some_concern_pending_full_text_review</w:t>
            </w:r>
          </w:p>
        </w:tc>
      </w:tr>
    </w:tbl>
    <w:p>
      <w:pPr>
        <w:pStyle w:val="Heading1"/>
      </w:pPr>
      <w:r>
        <w:rPr>
          <w:rFonts w:ascii="Times New Roman" w:hAnsi="Times New Roman"/>
        </w:rPr>
        <w:t>Discussion</w:t>
      </w:r>
    </w:p>
    <w:p>
      <w:r>
        <w:rPr>
          <w:rFonts w:ascii="Times New Roman" w:hAnsi="Times New Roman"/>
        </w:rPr>
        <w:t>The main conclusion is deliberately conservative. In the extracted repository evidence, exercise has the clearest human healthspan signal, but this supports functional healthy-ageing benefit rather than age reversal. Several other interventions have plausible biological or early human signals, but the present artifacts do not justify clinical rejuvenation claims. Rapamycin/mTOR, senolytics, NAD/sirtuin approaches, microbiome modulation, caloric restriction, and fasting should be described as promising or hypothesis-supporting until full-text eligibility, risk of bias, effect sizes, dosing, comparator details, and safety outcomes are manually confirmed. The hype-versus-evidence plot shows that some domains with mechanistic interest also carry higher hype-language burden, particularly reprogramming, stem-cell, plasma/controversial interventions, and some fasting or senolytic claims. The translational readiness matrix therefore keeps only exercise in the highest healthspan-support signal category and keeps other intervention classes below recommendation level. Candidate effect text was extracted from open full text or abstracts, but final pooling was not performed because the extracted snippets do not yet constitute verified quantitative data. This distinction is essential: biomarker movement, p-values, or pathway modulation cannot be equated with organismal rejuvenation without durable functional and clinical benefit.</w:t>
      </w:r>
    </w:p>
    <w:p>
      <w:r>
        <w:rPr>
          <w:rFonts w:ascii="Times New Roman" w:hAnsi="Times New Roman"/>
        </w:rPr>
        <w:t>For MJDRDYPU readership, the practical interpretation is that healthy-ageing advice should remain grounded in established healthspan interventions, especially physical activity and multidomain lifestyle support. Experimental geroscience interventions should not be promoted as age-reversal therapies outside appropriate research settings.</w:t>
      </w:r>
    </w:p>
    <w:p>
      <w:pPr>
        <w:pStyle w:val="Heading1"/>
      </w:pPr>
      <w:r>
        <w:rPr>
          <w:rFonts w:ascii="Times New Roman" w:hAnsi="Times New Roman"/>
        </w:rPr>
        <w:t>Strengths and Limitations</w:t>
      </w:r>
    </w:p>
    <w:p>
      <w:r>
        <w:rPr>
          <w:rFonts w:ascii="Times New Roman" w:hAnsi="Times New Roman"/>
        </w:rPr>
        <w:t>Strengths include a reproducible workflow, explicit claim separation, conservative scoring, human-evidence prioritization, full-text triage artifacts, duplicate-cohort checks, preliminary RoB prompts, and figures designed to separate hype from evidence.</w:t>
      </w:r>
    </w:p>
    <w:p>
      <w:r>
        <w:rPr>
          <w:rFonts w:ascii="Times New Roman" w:hAnsi="Times New Roman"/>
        </w:rPr>
        <w:t>Limitations include capped search retrieval, incomplete manual full-text review, preliminary rather than final RoB judgments, candidate rather than final effect-size extraction, and the absence of quantitative meta-analysis. These limitations are retained transparently to prevent overclaiming.</w:t>
      </w:r>
    </w:p>
    <w:p>
      <w:pPr>
        <w:pStyle w:val="Heading1"/>
      </w:pPr>
      <w:r>
        <w:rPr>
          <w:rFonts w:ascii="Times New Roman" w:hAnsi="Times New Roman"/>
        </w:rPr>
        <w:t>Conclusion</w:t>
      </w:r>
    </w:p>
    <w:p>
      <w:r>
        <w:rPr>
          <w:rFonts w:ascii="Times New Roman" w:hAnsi="Times New Roman"/>
        </w:rPr>
        <w:t>The extracted evidence supports a cautious hierarchy: exercise has the strongest human healthspan signal, while several pharmacologic, nutritional, senolytic, NAD/sirtuin, microbiome, and regenerative approaches remain promising but unproven for clinical age reversal. Biomarker improvements should not be equated with rejuvenation without durable functional and clinical benefit.</w:t>
      </w:r>
    </w:p>
    <w:p>
      <w:pPr>
        <w:pStyle w:val="Heading1"/>
      </w:pPr>
      <w:r>
        <w:rPr>
          <w:rFonts w:ascii="Times New Roman" w:hAnsi="Times New Roman"/>
        </w:rPr>
        <w:t>Ethics</w:t>
      </w:r>
    </w:p>
    <w:p>
      <w:r>
        <w:rPr>
          <w:rFonts w:ascii="Times New Roman" w:hAnsi="Times New Roman"/>
        </w:rPr>
        <w:t>Ethics committee approval was not required because this review used public bibliographic metadata and open-access text where available, with no individual participant data.</w:t>
      </w:r>
    </w:p>
    <w:p>
      <w:pPr>
        <w:pStyle w:val="Heading1"/>
      </w:pPr>
      <w:r>
        <w:rPr>
          <w:rFonts w:ascii="Times New Roman" w:hAnsi="Times New Roman"/>
        </w:rPr>
        <w:t>Funding</w:t>
      </w:r>
    </w:p>
    <w:p>
      <w:r>
        <w:rPr>
          <w:rFonts w:ascii="Times New Roman" w:hAnsi="Times New Roman"/>
        </w:rPr>
        <w:t>No external funding is declared for this manuscript package.</w:t>
      </w:r>
    </w:p>
    <w:p>
      <w:pPr>
        <w:pStyle w:val="Heading1"/>
      </w:pPr>
      <w:r>
        <w:rPr>
          <w:rFonts w:ascii="Times New Roman" w:hAnsi="Times New Roman"/>
        </w:rPr>
        <w:t>Conflicts of Interest</w:t>
      </w:r>
    </w:p>
    <w:p>
      <w:r>
        <w:rPr>
          <w:rFonts w:ascii="Times New Roman" w:hAnsi="Times New Roman"/>
        </w:rPr>
        <w:t>None declared.</w:t>
      </w:r>
    </w:p>
    <w:p>
      <w:pPr>
        <w:pStyle w:val="Heading1"/>
      </w:pPr>
      <w:r>
        <w:rPr>
          <w:rFonts w:ascii="Times New Roman" w:hAnsi="Times New Roman"/>
        </w:rPr>
        <w:t>Data Availability</w:t>
      </w:r>
    </w:p>
    <w:p>
      <w:r>
        <w:rPr>
          <w:rFonts w:ascii="Times New Roman" w:hAnsi="Times New Roman"/>
        </w:rPr>
        <w:t>The reproducible tables, figures, extraction artifacts, and scripts are available in the project repository.</w:t>
      </w:r>
    </w:p>
    <w:p>
      <w:pPr>
        <w:pStyle w:val="Heading1"/>
      </w:pPr>
      <w:r>
        <w:rPr>
          <w:rFonts w:ascii="Times New Roman" w:hAnsi="Times New Roman"/>
        </w:rPr>
        <w:t>Figures</w:t>
      </w:r>
    </w:p>
    <w:p>
      <w:r>
        <w:rPr>
          <w:rFonts w:ascii="Times New Roman" w:hAnsi="Times New Roman"/>
        </w:rPr>
        <w:t>Figure 1. PRISMA-style pilot flow.</w:t>
      </w:r>
    </w:p>
    <w:p>
      <w:r>
        <w:drawing>
          <wp:inline xmlns:a="http://schemas.openxmlformats.org/drawingml/2006/main" xmlns:pic="http://schemas.openxmlformats.org/drawingml/2006/picture">
            <wp:extent cx="5303520" cy="3091219"/>
            <wp:docPr id="1" name="Picture 1"/>
            <wp:cNvGraphicFramePr>
              <a:graphicFrameLocks noChangeAspect="1"/>
            </wp:cNvGraphicFramePr>
            <a:graphic>
              <a:graphicData uri="http://schemas.openxmlformats.org/drawingml/2006/picture">
                <pic:pic>
                  <pic:nvPicPr>
                    <pic:cNvPr id="0" name="prisma_flow.png"/>
                    <pic:cNvPicPr/>
                  </pic:nvPicPr>
                  <pic:blipFill>
                    <a:blip r:embed="rId9"/>
                    <a:stretch>
                      <a:fillRect/>
                    </a:stretch>
                  </pic:blipFill>
                  <pic:spPr>
                    <a:xfrm>
                      <a:off x="0" y="0"/>
                      <a:ext cx="5303520" cy="3091219"/>
                    </a:xfrm>
                    <a:prstGeom prst="rect"/>
                  </pic:spPr>
                </pic:pic>
              </a:graphicData>
            </a:graphic>
          </wp:inline>
        </w:drawing>
      </w:r>
    </w:p>
    <w:p>
      <w:r>
        <w:rPr>
          <w:rFonts w:ascii="Times New Roman" w:hAnsi="Times New Roman"/>
        </w:rPr>
        <w:t>Figure 2. Intervention evidence score ranking.</w:t>
      </w:r>
    </w:p>
    <w:p>
      <w:r>
        <w:drawing>
          <wp:inline xmlns:a="http://schemas.openxmlformats.org/drawingml/2006/main" xmlns:pic="http://schemas.openxmlformats.org/drawingml/2006/picture">
            <wp:extent cx="5303520" cy="3206417"/>
            <wp:docPr id="2" name="Picture 2"/>
            <wp:cNvGraphicFramePr>
              <a:graphicFrameLocks noChangeAspect="1"/>
            </wp:cNvGraphicFramePr>
            <a:graphic>
              <a:graphicData uri="http://schemas.openxmlformats.org/drawingml/2006/picture">
                <pic:pic>
                  <pic:nvPicPr>
                    <pic:cNvPr id="0" name="evidence_score_ranking.png"/>
                    <pic:cNvPicPr/>
                  </pic:nvPicPr>
                  <pic:blipFill>
                    <a:blip r:embed="rId10"/>
                    <a:stretch>
                      <a:fillRect/>
                    </a:stretch>
                  </pic:blipFill>
                  <pic:spPr>
                    <a:xfrm>
                      <a:off x="0" y="0"/>
                      <a:ext cx="5303520" cy="3206417"/>
                    </a:xfrm>
                    <a:prstGeom prst="rect"/>
                  </pic:spPr>
                </pic:pic>
              </a:graphicData>
            </a:graphic>
          </wp:inline>
        </w:drawing>
      </w:r>
    </w:p>
    <w:p>
      <w:r>
        <w:rPr>
          <w:rFonts w:ascii="Times New Roman" w:hAnsi="Times New Roman"/>
        </w:rPr>
        <w:t>Figure 3. Hype-versus-evidence map.</w:t>
      </w:r>
    </w:p>
    <w:p>
      <w:r>
        <w:drawing>
          <wp:inline xmlns:a="http://schemas.openxmlformats.org/drawingml/2006/main" xmlns:pic="http://schemas.openxmlformats.org/drawingml/2006/picture">
            <wp:extent cx="5303520" cy="3718667"/>
            <wp:docPr id="3" name="Picture 3"/>
            <wp:cNvGraphicFramePr>
              <a:graphicFrameLocks noChangeAspect="1"/>
            </wp:cNvGraphicFramePr>
            <a:graphic>
              <a:graphicData uri="http://schemas.openxmlformats.org/drawingml/2006/picture">
                <pic:pic>
                  <pic:nvPicPr>
                    <pic:cNvPr id="0" name="hype_vs_evidence_map.png"/>
                    <pic:cNvPicPr/>
                  </pic:nvPicPr>
                  <pic:blipFill>
                    <a:blip r:embed="rId11"/>
                    <a:stretch>
                      <a:fillRect/>
                    </a:stretch>
                  </pic:blipFill>
                  <pic:spPr>
                    <a:xfrm>
                      <a:off x="0" y="0"/>
                      <a:ext cx="5303520" cy="3718667"/>
                    </a:xfrm>
                    <a:prstGeom prst="rect"/>
                  </pic:spPr>
                </pic:pic>
              </a:graphicData>
            </a:graphic>
          </wp:inline>
        </w:drawing>
      </w:r>
    </w:p>
    <w:p>
      <w:r>
        <w:rPr>
          <w:rFonts w:ascii="Times New Roman" w:hAnsi="Times New Roman"/>
        </w:rPr>
        <w:t>Figure 4. Translational readiness matrix.</w:t>
      </w:r>
    </w:p>
    <w:p>
      <w:r>
        <w:drawing>
          <wp:inline xmlns:a="http://schemas.openxmlformats.org/drawingml/2006/main" xmlns:pic="http://schemas.openxmlformats.org/drawingml/2006/picture">
            <wp:extent cx="5303520" cy="3400492"/>
            <wp:docPr id="4" name="Picture 4"/>
            <wp:cNvGraphicFramePr>
              <a:graphicFrameLocks noChangeAspect="1"/>
            </wp:cNvGraphicFramePr>
            <a:graphic>
              <a:graphicData uri="http://schemas.openxmlformats.org/drawingml/2006/picture">
                <pic:pic>
                  <pic:nvPicPr>
                    <pic:cNvPr id="0" name="translational_matrix.png"/>
                    <pic:cNvPicPr/>
                  </pic:nvPicPr>
                  <pic:blipFill>
                    <a:blip r:embed="rId12"/>
                    <a:stretch>
                      <a:fillRect/>
                    </a:stretch>
                  </pic:blipFill>
                  <pic:spPr>
                    <a:xfrm>
                      <a:off x="0" y="0"/>
                      <a:ext cx="5303520" cy="3400492"/>
                    </a:xfrm>
                    <a:prstGeom prst="rect"/>
                  </pic:spPr>
                </pic:pic>
              </a:graphicData>
            </a:graphic>
          </wp:inline>
        </w:drawing>
      </w:r>
    </w:p>
    <w:p>
      <w:pPr>
        <w:pStyle w:val="Heading1"/>
      </w:pPr>
      <w:r>
        <w:rPr>
          <w:rFonts w:ascii="Times New Roman" w:hAnsi="Times New Roman"/>
        </w:rPr>
        <w:t>References</w:t>
      </w:r>
    </w:p>
    <w:p>
      <w:r>
        <w:rPr>
          <w:rFonts w:ascii="Times New Roman" w:hAnsi="Times New Roman"/>
        </w:rPr>
        <w:t>1. Yap KH, Chen C, Chong EJY, Kandiah N, Kivipelto M, Lai MKP, Maier AB, Matchar DB, Phua AKS, Teo CKL, Xu X, Zhou HJ, Chen CPL. Baseline characteristics of the SINgapore GERiatric Intervention Study to Reduce Cognitive Decline and Physical Frailty (SINGER) multidomain dementia prevention randomized controlled trial and insights from the recruitment process. Alzheimers Dement. 2026. doi: 10.1002/alz.71313.</w:t>
      </w:r>
    </w:p>
    <w:p>
      <w:r>
        <w:rPr>
          <w:rFonts w:ascii="Times New Roman" w:hAnsi="Times New Roman"/>
        </w:rPr>
        <w:t>2. Zanotto T, Tabatabaei A, Lynch SG, He J, Lysaught M, Ahmadnezhad P, Ibude J, Devos H, Chaves LD, Troen BR, Sosnoff JJ. Reducing frailty in frail people with multiple sclerosis: Feasibility of a 6-week multimodal exercise training program. PLoS One. 2026. doi: 10.1371/journal.pone.0347063.</w:t>
      </w:r>
    </w:p>
    <w:p>
      <w:r>
        <w:rPr>
          <w:rFonts w:ascii="Times New Roman" w:hAnsi="Times New Roman"/>
        </w:rPr>
        <w:t>3. Ni Lochlainn M; Bowyer RCE; Moll JM; García MP; Wadge S; Baleanu AF; Nessa A; Sheedy A. Effect of gut microbiome modulation on muscle function and cognition: the PROMOTe randomised controlled trial. Nature communications. 2024. PMID: 38424099.</w:t>
      </w:r>
    </w:p>
    <w:p>
      <w:r>
        <w:rPr>
          <w:rFonts w:ascii="Times New Roman" w:hAnsi="Times New Roman"/>
        </w:rPr>
        <w:t>4. Tuan SH; Chang LH; Sun SF; Li CH; Chen GB; Tsai YJ. Assessing the Clinical Effectiveness of an Exergame-Based Exercise Training Program Using Ring Fit Adventure to Prevent and Postpone Frailty and Sarcopenia Among Older Adults in Rural Long-Term Care Facilities: Randomized Controlled Trial. Journal of medical Internet research. 2024. PMID: 39024000.</w:t>
      </w:r>
    </w:p>
    <w:p>
      <w:r>
        <w:rPr>
          <w:rFonts w:ascii="Times New Roman" w:hAnsi="Times New Roman"/>
        </w:rPr>
        <w:t>5. Yoon D.H.; Lee Jun-Young; Song Wook. Effects of Resistance Exercise Training on Cognitive Function and Physical Performance in Cognitive Frailty: A Randomized Controlled Trial. The Journal of nutrition, health and aging. 2018. doi: 10.1007/s12603-018-1090-9.</w:t>
      </w:r>
    </w:p>
    <w:p>
      <w:r>
        <w:rPr>
          <w:rFonts w:ascii="Times New Roman" w:hAnsi="Times New Roman"/>
        </w:rPr>
        <w:t>6. Zhu Z, Zhou X, Chen M, Dou C, Liu D, Kong L, Ye C, Xu M, Xu Y, Li M, Zhao Z, Zheng J, Lu J, Chen Y, Wang W, Ning G, Bi Y, Wang T. Interaction between physical activity and deficit-based frailty on all-cause mortality in older adults: a prospective study of five population-based cohorts. Lancet Reg Health West Pac. 2026. doi: 10.1016/j.lanwpc.2025.101780.</w:t>
      </w:r>
    </w:p>
    <w:p>
      <w:r>
        <w:rPr>
          <w:rFonts w:ascii="Times New Roman" w:hAnsi="Times New Roman"/>
        </w:rPr>
        <w:t>7. Brandhorst S; Levine ME; Wei M; Shelehchi M; Morgan TE; Nayak KS; Dorff T; Hong K. Fasting-mimicking diet causes hepatic and blood markers changes indicating reduced biological age and disease risk. Nature communications. 2024. PMID: 38378685.</w:t>
      </w:r>
    </w:p>
    <w:p>
      <w:r>
        <w:rPr>
          <w:rFonts w:ascii="Times New Roman" w:hAnsi="Times New Roman"/>
        </w:rPr>
        <w:t>8. Chung CL; Lawrence I; Hoffman M; Elgindi D; Nadhan K; Potnis M; Jin A; Sershon C. Topical rapamycin reduces markers of senescence and aging in human skin: an exploratory, prospective, randomized trial. GeroScience. 2019. PMID: 31761958.</w:t>
      </w:r>
    </w:p>
    <w:p>
      <w:r>
        <w:rPr>
          <w:rFonts w:ascii="Times New Roman" w:hAnsi="Times New Roman"/>
        </w:rPr>
        <w:t>9. Moel M; Harinath G; Lee V; Nyquist A; Morgan SL; Isman A; Zalzala S. Influence of rapamycin on safety and healthspan metrics after one year: PEARL trial results. Aging. 2025. PMID: 40188830.</w:t>
      </w:r>
    </w:p>
    <w:p>
      <w:r>
        <w:rPr>
          <w:rFonts w:ascii="Times New Roman" w:hAnsi="Times New Roman"/>
        </w:rPr>
        <w:t>10. Brandhorst S; Choi IY; Wei M; Cheng CW; Sedrakyan S; Navarrete G; Dubeau L; Yap LP. A Periodic Diet that Mimics Fasting Promotes Multi-System Regeneration, Enhanced Cognitive Performance, and Healthspan. Cell metabolism. 2015. PMID: 26094889.</w:t>
      </w:r>
    </w:p>
    <w:p>
      <w:r>
        <w:rPr>
          <w:rFonts w:ascii="Times New Roman" w:hAnsi="Times New Roman"/>
        </w:rPr>
        <w:t>11. COLLINS J.; LONGHURST G.; ROSCHEL H.; GUALANO B. RESISTANCE TRAINING AND CO-SUPPLEMENTATION WITH CREATINE AND PROTEIN IN OLDER SUBJECTS WITH FRAILTY. Journal of Frailty &amp; Aging. 2016. doi: 10.14283/jfa.2016.85.</w:t>
      </w:r>
    </w:p>
    <w:p>
      <w:r>
        <w:rPr>
          <w:rFonts w:ascii="Times New Roman" w:hAnsi="Times New Roman"/>
        </w:rPr>
        <w:t>12. Houston DK, Fanning J, Nicklas BJ, Delany JP, Hsu FC, Chen SH, Walkup M, Neiberg RH, Stowe CL, Kennedy K, Espeland MA, Ard JD, Miller ME, Rejeski WJ, Kritchevsky SB. Caloric restriction and time-restricted eating in older adults with overweight or obesity: The Health, Aging, and Later-Life Outcomes Pilot Study. J Gerontol A Biol Sci Med Sci. 2026. doi: 10.1093/gerona/glag061.</w:t>
      </w:r>
    </w:p>
    <w:p>
      <w:r>
        <w:rPr>
          <w:rFonts w:ascii="Times New Roman" w:hAnsi="Times New Roman"/>
        </w:rPr>
        <w:t>13. Olaso-Gonzalez G, Millan-Domingo F, Garcia-Fernandez L, Garcia-Tercero E, Cebrian M, Garcia-Dominguez C, Carbonell JA, Casabo-Valles G, Garcia-Gimenez JL, Tamayo-Torres E, Gambini J, Tarazona-Santabalbina FJ, Vina J, Gomez-Cabrera MC. A Multidomain Lifestyle Intervention Is Associated With Improved Functional Trajectories and Favorable Changes in Epigenetic Aging Markers in Frail Older Adults: A Randomized Controlled Trial. Aging Cell. 2026. doi: 10.1111/acel.70376.</w:t>
      </w:r>
    </w:p>
    <w:p>
      <w:r>
        <w:rPr>
          <w:rFonts w:ascii="Times New Roman" w:hAnsi="Times New Roman"/>
        </w:rPr>
        <w:t>14. Ji J, Crespi CM, Yee L, Zekster YA, Al-Saleem A, Petersen L, Lee C, Son N, Smith C, Evans T, Tchkonia T, Kirkland JL, Kuchel GA, Cohen HJ, Sedrak MS. A phase II randomized placebo-controlled study of fisetin to improve physical function in breast cancer survivors: the TROFFi study rationale and trial design. Ther Adv Med Oncol. 2026. doi: 10.1177/17588359261424668.</w:t>
      </w:r>
    </w:p>
    <w:p>
      <w:r>
        <w:rPr>
          <w:rFonts w:ascii="Times New Roman" w:hAnsi="Times New Roman"/>
        </w:rPr>
        <w:t>15. Mihaiescu-Ion V, Ortega-Gómez S, Domínguez-Navarro A, Ayala-Martinez C, Llerena-Guerrero R, Pérez-Cabezas V, González-Medina G, Losa-Reyna J, Galan-Mercant A. Viability of an educational program for lifestyle changes and an algorithm for the derivation of exercise programs in older people at risk of dependency at primary care: PRICA-POWFRAIL study protocol. BMC Geriatr. 2026. doi: 10.1186/s12877-025-06902-9.</w:t>
      </w:r>
    </w:p>
    <w:p>
      <w:r>
        <w:rPr>
          <w:rFonts w:ascii="Times New Roman" w:hAnsi="Times New Roman"/>
        </w:rPr>
        <w:t>16. Robinson LA, Cavanah AM, Lennon S, Mattingly ML, Pol WV, Huggins KW, Greene MW, Roberts MD, Frugé AD. Epigenetic and microbiome responses to greens supplementation in obese older adults: results from a randomized crossover-controlled trial. Front Nutr. 2026. doi: 10.3389/fnut.2026.1750030.</w:t>
      </w:r>
    </w:p>
    <w:p>
      <w:r>
        <w:rPr>
          <w:rFonts w:ascii="Times New Roman" w:hAnsi="Times New Roman"/>
        </w:rPr>
        <w:t>17. Coleman AE; Creevy KE; Anderson R; Reed MJ; Fajt VR; Aicher KM; Atiee G; Barnett BG. Test of Rapamycin in Aging Dogs (TRIAD): study design and rationale for a prospective, parallel-group, double-masked, randomized, placebo-controlled, multicenter trial of rapamycin in healthy middle-aged dogs from the Dog Aging Project. GeroScience. 2025. PMID: 39951177.</w:t>
      </w:r>
    </w:p>
    <w:p>
      <w:r>
        <w:rPr>
          <w:rFonts w:ascii="Times New Roman" w:hAnsi="Times New Roman"/>
        </w:rPr>
        <w:t>18. Pihlstrøm Lasse; Frich Jan; Walsem Marleen van. J012 NAD-HD: a randomized clinical trial of nicotinamide riboside in Huntington’s disease. J: Clinical therapeutics. 2024. doi: 10.1136/jnnp-2024-ehdn.333.</w:t>
      </w:r>
    </w:p>
    <w:p>
      <w:r>
        <w:rPr>
          <w:rFonts w:ascii="Times New Roman" w:hAnsi="Times New Roman"/>
        </w:rPr>
        <w:t>19. Nilsson MI; Xhuti D; de Maat NM; Hettinga BP; Tarnopolsky MA. Obesity and Metabolic Disease Impair the Anabolic Response to Protein Supplementation and Resistance Exercise: A Retrospective Analysis of a Randomized Clinical Trial with Implications for Aging, Sarcopenic Obesity, and Weight Management. Nutrients. 2024. PMID: 39771028.</w:t>
      </w:r>
    </w:p>
    <w:p>
      <w:r>
        <w:rPr>
          <w:rFonts w:ascii="Times New Roman" w:hAnsi="Times New Roman"/>
        </w:rPr>
        <w:t>20. Journal of Aging and Physical Activ. Erratum. Effects of Dancing Associated With Resistance Training on Functional Parameters and Quality of Life of Aging Women: A Randomized Controlled Trial. Journal of Aging and Physical Activity. 2023. doi: 10.1123/japa.2023-0257.</w:t>
      </w:r>
    </w:p>
    <w:p>
      <w:r>
        <w:rPr>
          <w:rFonts w:ascii="Times New Roman" w:hAnsi="Times New Roman"/>
        </w:rPr>
        <w:t>21. Yi L; Maier AB; Tao R; Lin Z; Vaidya A; Pendse S; Thasma S; Andhalkar N. The efficacy and safety of β-nicotinamide mononucleotide (NMN) supplementation in healthy middle-aged adults: a randomized, multicenter, double-blind, placebo-controlled, parallel-group, dose-dependent clinical trial. GeroScience. 2023. PMID: 36482258.</w:t>
      </w:r>
    </w:p>
    <w:p>
      <w:r>
        <w:rPr>
          <w:rFonts w:ascii="Times New Roman" w:hAnsi="Times New Roman"/>
        </w:rPr>
        <w:t>22. Waziry R; Ryan CP; Corcoran DL; Huffman KM; Kobor MS; Kothari M; Graf GH; Kraus VB. Effect of long-term caloric restriction on DNA methylation measures of biological aging in healthy adults from the CALERIE trial. Nature aging. 2023. PMID: 37118425.</w:t>
      </w:r>
    </w:p>
    <w:p>
      <w:r>
        <w:rPr>
          <w:rFonts w:ascii="Times New Roman" w:hAnsi="Times New Roman"/>
        </w:rPr>
        <w:t>23. Fiorito G; Caini S; Palli D; Bendinelli B; Saieva C; Ermini I; Valentini V; Assedi M. DNA methylation-based biomarkers of aging were slowed down in a two-year diet and physical activity intervention trial: the DAMA study. Aging cell. 2021. PMID: 34535961.</w:t>
      </w:r>
    </w:p>
    <w:p>
      <w:r>
        <w:rPr>
          <w:rFonts w:ascii="Times New Roman" w:hAnsi="Times New Roman"/>
        </w:rPr>
        <w:t>24. Stares A; Bains M. The Additive Effects of Creatine Supplementation and Exercise Training in an Aging Population: A Systematic Review of Randomized Controlled Trials. Journal of geriatric physical therapy (2001). 2020. PMID: 30762623.</w:t>
      </w:r>
    </w:p>
    <w:p>
      <w:r>
        <w:rPr>
          <w:rFonts w:ascii="Times New Roman" w:hAnsi="Times New Roman"/>
        </w:rPr>
        <w:t>25. Casas-Herrero A; Anton-Rodrigo I; Zambom-Ferraresi F; Sáez de Asteasu ML; Martinez-Velilla N; Elexpuru-Estomba J; Marin-Epelde I; Ramon-Espinoza F. Effect of a multicomponent exercise programme (VIVIFRAIL) on functional capacity in frail community elders with cognitive decline: study protocol for a randomized multicentre control trial. Trials. 2019. PMID: 31208471.</w:t>
      </w:r>
    </w:p>
    <w:p>
      <w:r>
        <w:rPr>
          <w:rFonts w:ascii="Times New Roman" w:hAnsi="Times New Roman"/>
        </w:rPr>
        <w:t>26. Vlietstra L.; Fordyce A.M.; Costa E.C.; Coffey S.; Walker X.J.; Whalley G.A.; Waters D.L. Exercise interventions to improve physical frailty and physical frailty components in older adults with hypertension: A systematic review. Ageing Research Reviews. 2025. doi: 10.1016/j.arr.2025.102714.</w:t>
      </w:r>
    </w:p>
    <w:p>
      <w:r>
        <w:rPr>
          <w:rFonts w:ascii="Times New Roman" w:hAnsi="Times New Roman"/>
        </w:rPr>
        <w:t>27. Billot M; Calvani R; Urtamo A; Sánchez-Sánchez JL; Ciccolari-Micaldi C; Chang M; Roller-Wirnsberger R; Wirnsberger G. Preserving Mobility in Older Adults with Physical Frailty and Sarcopenia: Opportunities, Challenges, and Recommendations for Physical Activity Interventions. Clinical interventions in aging. 2020. PMID: 32982201.</w:t>
      </w:r>
    </w:p>
    <w:p>
      <w:r>
        <w:rPr>
          <w:rFonts w:ascii="Times New Roman" w:hAnsi="Times New Roman"/>
        </w:rPr>
        <w:t>28. Muñoz-Pardeza J, López-Gil JF, Hormazábal-Aguayo I, Izquierdo M, Agostinis-Sobrinho C, Ezzatvar Y, García-Hermoso A. Effects of Diactive-1-Supported Progressive Resistance Training on Body Composition in Youth With Type 1 Diabetes. J Cachexia Sarcopenia Muscle. 2026. doi: 10.1002/jcsm.70257.</w:t>
      </w:r>
    </w:p>
    <w:p>
      <w:r>
        <w:rPr>
          <w:rFonts w:ascii="Times New Roman" w:hAnsi="Times New Roman"/>
        </w:rPr>
        <w:t>29. Racette SB, Silver RE, Barry VG, DeGraff JJ, Gunning JA, Kebbe M, Gilhooly CH, Das SK. Diet quality and nutritional adequacy during a 2-year calorie restriction intervention: the Comprehensive Assessment of Long-Term Effects of Reducing Intake of Energy 2 trial. Am J Clin Nutr. 2026. doi: 10.1016/j.ajcnut.2025.101182.</w:t>
      </w:r>
    </w:p>
    <w:p>
      <w:r>
        <w:rPr>
          <w:rFonts w:ascii="Times New Roman" w:hAnsi="Times New Roman"/>
        </w:rPr>
        <w:t>30. Veronese N, Gianfredi V, Smith L, Al-Daghri N, Barratt J, Beaudart C, Bellelli G, Bruyère O, Diaz-Ponce AM, Demurtas J, Firth J, Frederiksen KS, Karpenko O, Limongi F, Petrovic M, Prokopidis K, Reginster JY, Rizzoli R, Ramalho R, Sabico S, Schuch FB, Schlögl M, Shenkin SD, Sieber C, Solmi M, Soysal P, Stubbs B, Yang L, Zanetti M, Maggi S. Recommendations from the European interdisciplinary council on ageing on physical activity and diet for mental health conditions in older adults. Aging Clin Exp Res. 2026. doi: 10.1007/s40520-025-03315-x.</w:t>
      </w:r>
    </w:p>
    <w:p>
      <w:r>
        <w:rPr>
          <w:rFonts w:ascii="Times New Roman" w:hAnsi="Times New Roman"/>
        </w:rPr>
        <w:t>31. Ying YY, Chen X, Yao SY, Chen RX, Ying Y, Qiu H, Xu QQ, Li ZY, Ye CQ, Qian YL, Liang HQ, Sun X, Zhang D. Circadian rhythm disruption impairs ovarian follicular development via NAD&lt;sup&gt;+&lt;/sup&gt; metabolic reprogramming. EBioMedicine. 2026. doi: 10.1016/j.ebiom.2026.106200.</w:t>
      </w:r>
    </w:p>
    <w:p>
      <w:r>
        <w:rPr>
          <w:rFonts w:ascii="Times New Roman" w:hAnsi="Times New Roman"/>
        </w:rPr>
        <w:t>32. Berven H, Svensen M, Eikeland H, Tvedten N, Sheard EV, Af Geijerstam SA, Søgnen M, McCann A, Arnsten L, Årseth O, Skjeie V, Hjellbrekke A, Skeie GO, Torres Cleuren YN, Nido GS, Haugarvoll K, Riemer F, Tzoulis C, Dölle C. The NAD-brain pharmacokinetic study of NAD augmentation in blood and brain using oral precursor supplementation. iScience. 2026. doi: 10.1016/j.isci.2026.114764.</w:t>
      </w:r>
    </w:p>
    <w:p>
      <w:r>
        <w:rPr>
          <w:rFonts w:ascii="Times New Roman" w:hAnsi="Times New Roman"/>
        </w:rPr>
        <w:t>33. Kell L, Jones EJ, Gharahdaghi N, Wilkinson DJ, Smith K, Atherton PJ, Simon AK, Cox LS, Alsaleh G. Rapamycin Exerts Its Geroprotective Effects in the Ageing Human Immune System by Enhancing Resilience Against DNA Damage. Aging Cell. 2026. doi: 10.1111/acel.70364.</w:t>
      </w:r>
    </w:p>
    <w:p>
      <w:r>
        <w:rPr>
          <w:rFonts w:ascii="Times New Roman" w:hAnsi="Times New Roman"/>
        </w:rPr>
        <w:t>34. Bautista J, López-Cortés A. Biohacking the human gut microbiome for precision health and therapeutic innovation. Front Microbiol. 2026. doi: 10.3389/fmicb.2026.1776983.</w:t>
      </w:r>
    </w:p>
    <w:p>
      <w:r>
        <w:rPr>
          <w:rFonts w:ascii="Times New Roman" w:hAnsi="Times New Roman"/>
        </w:rPr>
        <w:t>35. Liu C, Lu L, Wei W. Research advances in exercise management for frail older adults. Front Public Health. 2026. doi: 10.3389/fpubh.2026.1763583.</w:t>
      </w:r>
    </w:p>
    <w:p>
      <w:r>
        <w:rPr>
          <w:rFonts w:ascii="Times New Roman" w:hAnsi="Times New Roman"/>
        </w:rPr>
        <w:t>36. Shi M, Ge W. Editorial: Integrated strategies for lifelong health: multidimensional approaches to aging and lifestyle interventions. Front Public Health. 2026. doi: 10.3389/fpubh.2026.1777378.</w:t>
      </w:r>
    </w:p>
    <w:p>
      <w:r>
        <w:rPr>
          <w:rFonts w:ascii="Times New Roman" w:hAnsi="Times New Roman"/>
        </w:rPr>
        <w:t>37. Sáez-Nieto C, Pérez-Rodríguez P, Matovelle P, Rodríguez-Mañas L, Coelho-Júnior HJ, Rodríguez-Sánchez I. Effects of exercise training on frail older adults with heart failure: a systematic-review. Front Aging. 2026. doi: 10.3389/fragi.2026.1800669.</w:t>
      </w:r>
    </w:p>
    <w:p>
      <w:r>
        <w:rPr>
          <w:rFonts w:ascii="Times New Roman" w:hAnsi="Times New Roman"/>
        </w:rPr>
        <w:t>38. Lim MJS, Parlindungan E, See E, Gan CH, Yap R, Yong GJM. Diet, the Gut Microbiome, and Estrogen Physiology: A Review in Menopausal Health and Interventions. Nutrients. 2026. doi: 10.3390/nu18071052.</w:t>
      </w:r>
    </w:p>
    <w:p>
      <w:r>
        <w:rPr>
          <w:rFonts w:ascii="Times New Roman" w:hAnsi="Times New Roman"/>
        </w:rPr>
        <w:t>39. Poisnel G, Lhérault M, Palix C, Turpin A, Felisatti F, Vrillon A, Paquet C, Chocat A, Coulbault L, De La Sayette V, Gonneaud J, Chételat G. Physical activity attenuates the association between allostatic load and early Alzheimer's disease‐related biomarkers in older adults. Alzheimers Dement (N Y). 2026.</w:t>
      </w:r>
    </w:p>
    <w:p>
      <w:r>
        <w:rPr>
          <w:rFonts w:ascii="Times New Roman" w:hAnsi="Times New Roman"/>
        </w:rPr>
        <w:t>40. Gulej R, Patai R, Ungvari A, Kallai A, Tarantini S, Yabluchanskiy A, Huffman DM, Conboy MJ, Conboy IM, Kivimäki M, Csiszar A, Ungvari Z. Impacts of systemic milieu on cerebrovascular and brain aging: insights from heterochronic parabiosis, blood exchange, and plasma transfer experiments. Geroscience. 2025. doi: 10.1007/s11357-025-01657-y.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