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Internal Peer Review 1 - Methods, PRISMA, and Evidence Grading</w:t>
      </w:r>
    </w:p>
    <w:p>
      <w:r>
        <w:rPr>
          <w:rFonts w:ascii="Times New Roman" w:hAnsi="Times New Roman"/>
        </w:rPr>
        <w:t>Recommendation: Suitable for submission as a conservative evidence-map/systematic-review manuscript after final author sign-off.</w:t>
      </w:r>
    </w:p>
    <w:p>
      <w:r>
        <w:rPr>
          <w:rFonts w:ascii="Times New Roman" w:hAnsi="Times New Roman"/>
        </w:rPr>
        <w:t>Strengths: The pipeline is reproducible, logs all phases, separates human/animal/cellular evidence, penalizes hype-heavy claims, and creates full-text eligibility triage for all screening candidates.</w:t>
      </w:r>
    </w:p>
    <w:p>
      <w:r>
        <w:rPr>
          <w:rFonts w:ascii="Times New Roman" w:hAnsi="Times New Roman"/>
        </w:rPr>
        <w:t>Search/screening: The current search produced 1155 raw records and 1029 deduplicated records. This is a strong pilot base, but the capped search must be rerun at larger limits before claiming PRISMA-complete coverage.</w:t>
      </w:r>
    </w:p>
    <w:p>
      <w:r>
        <w:rPr>
          <w:rFonts w:ascii="Times New Roman" w:hAnsi="Times New Roman"/>
        </w:rPr>
        <w:t>Full-text verification: 40 priority human records were attempted, including 19 open full-text verifications. Remaining records should be manually checked.</w:t>
      </w:r>
    </w:p>
    <w:p>
      <w:r>
        <w:rPr>
          <w:rFonts w:ascii="Times New Roman" w:hAnsi="Times New Roman"/>
        </w:rPr>
        <w:t>Evidence grading: Exercise is appropriately ranked highest. Other categories are kept below recommendation level, which is scientifically appropriate.</w:t>
      </w:r>
    </w:p>
    <w:p>
      <w:r>
        <w:rPr>
          <w:rFonts w:ascii="Times New Roman" w:hAnsi="Times New Roman"/>
        </w:rPr>
        <w:t>Risk of bias: The formal RoB file is useful as a structured prompt, but it must not be described as a final RoB 2 or ROBINS-I assessment. The manuscript now labels it preliminary, which is correct.</w:t>
      </w:r>
    </w:p>
    <w:p>
      <w:r>
        <w:rPr>
          <w:rFonts w:ascii="Times New Roman" w:hAnsi="Times New Roman"/>
        </w:rPr>
        <w:t>Meta-analysis: It is appropriate not to pool effect estimates unless outcomes, comparators, uncertainty measures, and follow-up intervals are harmonized.</w:t>
      </w:r>
    </w:p>
    <w:p>
      <w:r>
        <w:rPr>
          <w:rFonts w:ascii="Times New Roman" w:hAnsi="Times New Roman"/>
        </w:rPr>
        <w:t>Duplicate cohorts: The duplicate-cohort check identified title/PMID/trial-key flags. These should be manually adjudicated before any final evidence count is published.</w:t>
      </w:r>
    </w:p>
    <w:p>
      <w:r>
        <w:rPr>
          <w:rFonts w:ascii="Times New Roman" w:hAnsi="Times New Roman"/>
        </w:rPr>
        <w:t>Reference/table/figure audit: In-text citations are now sequential superscript square-bracket references. Tables and figures are cited in sequence before display. Workflow labels were removed from publication tables.</w:t>
      </w:r>
    </w:p>
    <w:p>
      <w:r>
        <w:rPr>
          <w:rFonts w:ascii="Times New Roman" w:hAnsi="Times New Roman"/>
        </w:rPr>
        <w:t>Remaining caveat: The article must not be represented as a completed meta-analysis.</w:t>
      </w:r>
    </w:p>
    <w:p>
      <w:r>
        <w:rPr>
          <w:rFonts w:ascii="Times New Roman" w:hAnsi="Times New Roman"/>
        </w:rPr>
        <w:t>Verdict: Scientifically cautious and structurally credible as a submission-ready evidence-map package.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