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2 - Writing, Structure, and Submission Readiness</w:t>
      </w:r>
    </w:p>
    <w:p>
      <w:r>
        <w:rPr>
          <w:rFonts w:ascii="Times New Roman" w:hAnsi="Times New Roman"/>
        </w:rPr>
        <w:t>Recommendation: Structurally suitable for journal submission as a narrow quantitative add-on.</w:t>
      </w:r>
    </w:p>
    <w:p>
      <w:r>
        <w:rPr>
          <w:rFonts w:ascii="Times New Roman" w:hAnsi="Times New Roman"/>
        </w:rPr>
        <w:t>The manuscript uses restrained language, avoids local workflow phrasing, and keeps claims aligned with the actual pooled evidence.</w:t>
      </w:r>
    </w:p>
    <w:p>
      <w:r>
        <w:rPr>
          <w:rFonts w:ascii="Times New Roman" w:hAnsi="Times New Roman"/>
        </w:rPr>
        <w:t>Table 1 and Figure 1 are cited in sequence in the Results section before display.</w:t>
      </w:r>
    </w:p>
    <w:p>
      <w:r>
        <w:rPr>
          <w:rFonts w:ascii="Times New Roman" w:hAnsi="Times New Roman"/>
        </w:rPr>
        <w:t>References are limited to the studies actually cited in the manuscript and are listed in numbered order of appearance.</w:t>
      </w:r>
    </w:p>
    <w:p>
      <w:r>
        <w:rPr>
          <w:rFonts w:ascii="Times New Roman" w:hAnsi="Times New Roman"/>
        </w:rPr>
        <w:t>Declarations are included in the manuscript and can also be uploaded as a separate declarations file.</w:t>
      </w:r>
    </w:p>
    <w:p>
      <w:r>
        <w:rPr>
          <w:rFonts w:ascii="Times New Roman" w:hAnsi="Times New Roman"/>
        </w:rPr>
        <w:t>The package should be submitted as a focused biomarker meta-analysis, not as a comprehensive meta-analysis of all anti-ageing interventions.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