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Title Page</w:t>
      </w:r>
    </w:p>
    <w:p>
      <w:r>
        <w:rPr>
          <w:rFonts w:ascii="Times New Roman" w:hAnsi="Times New Roman"/>
          <w:b/>
        </w:rPr>
        <w:t xml:space="preserve">Title: </w:t>
      </w:r>
      <w:r>
        <w:rPr>
          <w:rFonts w:ascii="Times New Roman" w:hAnsi="Times New Roman"/>
        </w:rPr>
        <w:t>Anti-ageing Interventions and DNA Methylation Biomarkers of Biological Age: A Narrow Meta-analysis of Peer-reviewed Human Studies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Review article / systematic review with quantitative synthesis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Anti-ageing biomarker meta-analysis</w:t>
      </w:r>
    </w:p>
    <w:p>
      <w:r>
        <w:rPr>
          <w:rFonts w:ascii="Times New Roman" w:hAnsi="Times New Roman"/>
          <w:b/>
        </w:rPr>
        <w:t xml:space="preserve">Author: </w:t>
      </w:r>
      <w:r>
        <w:rPr>
          <w:rFonts w:ascii="Times New Roman" w:hAnsi="Times New Roman"/>
        </w:rPr>
        <w:t>Dr Siddalingaiah H S, Professor, Community Medicine</w:t>
      </w:r>
    </w:p>
    <w:p>
      <w:r>
        <w:rPr>
          <w:rFonts w:ascii="Times New Roman" w:hAnsi="Times New Roman"/>
          <w:b/>
        </w:rPr>
        <w:t xml:space="preserve">Affiliation: </w:t>
      </w:r>
      <w:r>
        <w:rPr>
          <w:rFonts w:ascii="Times New Roman" w:hAnsi="Times New Roman"/>
        </w:rPr>
        <w:t>Shridevi Institute of Medical Sciences and Research Hospital, Tumkur</w:t>
      </w:r>
    </w:p>
    <w:p>
      <w:r>
        <w:rPr>
          <w:rFonts w:ascii="Times New Roman" w:hAnsi="Times New Roman"/>
          <w:b/>
        </w:rPr>
        <w:t xml:space="preserve">Corresponding author: </w:t>
      </w:r>
      <w:r>
        <w:rPr>
          <w:rFonts w:ascii="Times New Roman" w:hAnsi="Times New Roman"/>
        </w:rPr>
        <w:t>Dr Siddalingaiah H S; hssling@yahoo.com; 8941087719; ORCID: 0000-0002-4771-8285</w:t>
      </w:r>
    </w:p>
    <w:p>
      <w:r>
        <w:rPr>
          <w:rFonts w:ascii="Times New Roman" w:hAnsi="Times New Roman"/>
          <w:b/>
        </w:rPr>
        <w:t xml:space="preserve">Main text word count excluding references/tables/figures: </w:t>
      </w:r>
      <w:r>
        <w:rPr>
          <w:rFonts w:ascii="Times New Roman" w:hAnsi="Times New Roman"/>
        </w:rPr>
        <w:t>594</w:t>
      </w:r>
    </w:p>
    <w:p>
      <w:r>
        <w:rPr>
          <w:rFonts w:ascii="Times New Roman" w:hAnsi="Times New Roman"/>
          <w:b/>
        </w:rPr>
        <w:t xml:space="preserve">Number of references: </w:t>
      </w:r>
      <w:r>
        <w:rPr>
          <w:rFonts w:ascii="Times New Roman" w:hAnsi="Times New Roman"/>
        </w:rPr>
        <w:t>3</w:t>
      </w:r>
    </w:p>
    <w:p>
      <w:r>
        <w:rPr>
          <w:rFonts w:ascii="Times New Roman" w:hAnsi="Times New Roman"/>
          <w:b/>
        </w:rPr>
        <w:t xml:space="preserve">Display items: </w:t>
      </w:r>
      <w:r>
        <w:rPr>
          <w:rFonts w:ascii="Times New Roman" w:hAnsi="Times New Roman"/>
        </w:rPr>
        <w:t>1 figure, 1 embedded table</w:t>
      </w:r>
    </w:p>
    <w:p>
      <w:r>
        <w:rPr>
          <w:rFonts w:ascii="Times New Roman" w:hAnsi="Times New Roman"/>
          <w:b/>
        </w:rPr>
        <w:t xml:space="preserve">Funding: </w:t>
      </w:r>
      <w:r>
        <w:rPr>
          <w:rFonts w:ascii="Times New Roman" w:hAnsi="Times New Roman"/>
        </w:rPr>
        <w:t>No external funding declared.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Ethics approval: </w:t>
      </w:r>
      <w:r>
        <w:rPr>
          <w:rFonts w:ascii="Times New Roman" w:hAnsi="Times New Roman"/>
        </w:rPr>
        <w:t>Not applicable; published reports, public bibliographic metadata, and open-access text where available.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