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Reference Audit Report</w:t>
      </w:r>
    </w:p>
    <w:p>
      <w:r>
        <w:rPr>
          <w:b w:val="0"/>
          <w:i w:val="0"/>
          <w:sz w:val="22"/>
        </w:rPr>
        <w:t>Manuscript: Can Ageing Be Slowed or Reversed? (MJDRDYPU_AntiAgeing)</w:t>
        <w:br/>
        <w:t>Audit date: 2026-04-24</w:t>
        <w:br/>
        <w:t>Auditor: Double-review QA process</w:t>
      </w:r>
    </w:p>
    <w:p/>
    <w:p>
      <w:pPr>
        <w:pStyle w:val="Heading2"/>
      </w:pPr>
      <w:r>
        <w:rPr>
          <w:color w:val="000000"/>
        </w:rPr>
        <w:t>1. Overall Reference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 (2026-04-23)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Corrected (2026-04-24)</w:t>
            </w:r>
          </w:p>
        </w:tc>
      </w:tr>
      <w:tr>
        <w:tc>
          <w:tcPr>
            <w:tcW w:type="dxa" w:w="2880"/>
          </w:tcPr>
          <w:p>
            <w:r>
              <w:t>Total references in list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40 (14 in text; 26 in Supp. Table S1)</w:t>
            </w:r>
          </w:p>
        </w:tc>
      </w:tr>
      <w:tr>
        <w:tc>
          <w:tcPr>
            <w:tcW w:type="dxa" w:w="2880"/>
          </w:tcPr>
          <w:p>
            <w:r>
              <w:t>References cited in main text</w:t>
            </w:r>
          </w:p>
        </w:tc>
        <w:tc>
          <w:tcPr>
            <w:tcW w:type="dxa" w:w="2880"/>
          </w:tcPr>
          <w:p>
            <w:r>
              <w:t>14 [1-14]</w:t>
            </w:r>
          </w:p>
        </w:tc>
        <w:tc>
          <w:tcPr>
            <w:tcW w:type="dxa" w:w="2880"/>
          </w:tcPr>
          <w:p>
            <w:r>
              <w:t>14 [1-14] -- CORRECTED</w:t>
            </w:r>
          </w:p>
        </w:tc>
      </w:tr>
      <w:tr>
        <w:tc>
          <w:tcPr>
            <w:tcW w:type="dxa" w:w="2880"/>
          </w:tcPr>
          <w:p>
            <w:r>
              <w:t>Uncited references in list</w:t>
            </w:r>
          </w:p>
        </w:tc>
        <w:tc>
          <w:tcPr>
            <w:tcW w:type="dxa" w:w="2880"/>
          </w:tcPr>
          <w:p>
            <w:r>
              <w:t>26 [15-40]</w:t>
            </w:r>
          </w:p>
        </w:tc>
        <w:tc>
          <w:tcPr>
            <w:tcW w:type="dxa" w:w="2880"/>
          </w:tcPr>
          <w:p>
            <w:r>
              <w:t>Moved to Supp. Table S1</w:t>
            </w:r>
          </w:p>
        </w:tc>
      </w:tr>
      <w:tr>
        <w:tc>
          <w:tcPr>
            <w:tcW w:type="dxa" w:w="2880"/>
          </w:tcPr>
          <w:p>
            <w:r>
              <w:t>Citation order errors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Duplicate references</w:t>
            </w:r>
          </w:p>
        </w:tc>
        <w:tc>
          <w:tcPr>
            <w:tcW w:type="dxa" w:w="2880"/>
          </w:tcPr>
          <w:p>
            <w:r>
              <w:t>None found</w:t>
            </w:r>
          </w:p>
        </w:tc>
        <w:tc>
          <w:tcPr>
            <w:tcW w:type="dxa" w:w="2880"/>
          </w:tcPr>
          <w:p>
            <w:r>
              <w:t>None found</w:t>
            </w:r>
          </w:p>
        </w:tc>
      </w:tr>
    </w:tbl>
    <w:p/>
    <w:p>
      <w:pPr>
        <w:pStyle w:val="Heading2"/>
      </w:pPr>
      <w:r>
        <w:rPr>
          <w:color w:val="000000"/>
        </w:rPr>
        <w:t>2. Reference-Level Audit (Refs 1-14)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Authors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Title (abbreviated)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Journal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 (DOI/PMID)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Issues Found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Corrected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Yap KH et al.</w:t>
            </w:r>
          </w:p>
        </w:tc>
        <w:tc>
          <w:tcPr>
            <w:tcW w:type="dxa" w:w="1080"/>
          </w:tcPr>
          <w:p>
            <w:r>
              <w:t>SINGER multidomain RCT baseline characteristics</w:t>
            </w:r>
          </w:p>
        </w:tc>
        <w:tc>
          <w:tcPr>
            <w:tcW w:type="dxa" w:w="1080"/>
          </w:tcPr>
          <w:p>
            <w:r>
              <w:t>Alzheimers Dement</w:t>
            </w:r>
          </w:p>
        </w:tc>
        <w:tc>
          <w:tcPr>
            <w:tcW w:type="dxa" w:w="1080"/>
          </w:tcPr>
          <w:p>
            <w:r>
              <w:t>2026</w:t>
            </w:r>
          </w:p>
        </w:tc>
        <w:tc>
          <w:tcPr>
            <w:tcW w:type="dxa" w:w="1080"/>
          </w:tcPr>
          <w:p>
            <w:r>
              <w:t>doi:10.1002/alz.71313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Zanotto T et al.</w:t>
            </w:r>
          </w:p>
        </w:tc>
        <w:tc>
          <w:tcPr>
            <w:tcW w:type="dxa" w:w="1080"/>
          </w:tcPr>
          <w:p>
            <w:r>
              <w:t>Exercise in frail MS patients</w:t>
            </w:r>
          </w:p>
        </w:tc>
        <w:tc>
          <w:tcPr>
            <w:tcW w:type="dxa" w:w="1080"/>
          </w:tcPr>
          <w:p>
            <w:r>
              <w:t>PLoS One</w:t>
            </w:r>
          </w:p>
        </w:tc>
        <w:tc>
          <w:tcPr>
            <w:tcW w:type="dxa" w:w="1080"/>
          </w:tcPr>
          <w:p>
            <w:r>
              <w:t>2026</w:t>
            </w:r>
          </w:p>
        </w:tc>
        <w:tc>
          <w:tcPr>
            <w:tcW w:type="dxa" w:w="1080"/>
          </w:tcPr>
          <w:p>
            <w:r>
              <w:t>doi:10.1371/journal.pone.0347063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Ni Lochlainn M et al.</w:t>
            </w:r>
          </w:p>
        </w:tc>
        <w:tc>
          <w:tcPr>
            <w:tcW w:type="dxa" w:w="1080"/>
          </w:tcPr>
          <w:p>
            <w:r>
              <w:t>PROMOTe microbiome RCT</w:t>
            </w:r>
          </w:p>
        </w:tc>
        <w:tc>
          <w:tcPr>
            <w:tcW w:type="dxa" w:w="1080"/>
          </w:tcPr>
          <w:p>
            <w:r>
              <w:t>Nat Commun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PMID:38424099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Tuan SH et al.</w:t>
            </w:r>
          </w:p>
        </w:tc>
        <w:tc>
          <w:tcPr>
            <w:tcW w:type="dxa" w:w="1080"/>
          </w:tcPr>
          <w:p>
            <w:r>
              <w:t>Ring Fit exergame RCT for frailty</w:t>
            </w:r>
          </w:p>
        </w:tc>
        <w:tc>
          <w:tcPr>
            <w:tcW w:type="dxa" w:w="1080"/>
          </w:tcPr>
          <w:p>
            <w:r>
              <w:t>J Med Internet Res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PMID:39024000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Yoon DH et al.</w:t>
            </w:r>
          </w:p>
        </w:tc>
        <w:tc>
          <w:tcPr>
            <w:tcW w:type="dxa" w:w="1080"/>
          </w:tcPr>
          <w:p>
            <w:r>
              <w:t>Resistance exercise in cognitive frailty RCT</w:t>
            </w:r>
          </w:p>
        </w:tc>
        <w:tc>
          <w:tcPr>
            <w:tcW w:type="dxa" w:w="1080"/>
          </w:tcPr>
          <w:p>
            <w:r>
              <w:t>J Nutr Health Aging</w:t>
            </w:r>
          </w:p>
        </w:tc>
        <w:tc>
          <w:tcPr>
            <w:tcW w:type="dxa" w:w="1080"/>
          </w:tcPr>
          <w:p>
            <w:r>
              <w:t>2018</w:t>
            </w:r>
          </w:p>
        </w:tc>
        <w:tc>
          <w:tcPr>
            <w:tcW w:type="dxa" w:w="1080"/>
          </w:tcPr>
          <w:p>
            <w:r>
              <w:t>doi:10.1007/s12603-018-1090-9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Zhu Z et al.</w:t>
            </w:r>
          </w:p>
        </w:tc>
        <w:tc>
          <w:tcPr>
            <w:tcW w:type="dxa" w:w="1080"/>
          </w:tcPr>
          <w:p>
            <w:r>
              <w:t>Physical activity, frailty, and all-cause mortality (5 cohorts)</w:t>
            </w:r>
          </w:p>
        </w:tc>
        <w:tc>
          <w:tcPr>
            <w:tcW w:type="dxa" w:w="1080"/>
          </w:tcPr>
          <w:p>
            <w:r>
              <w:t>Lancet Reg Health West Pac</w:t>
            </w:r>
          </w:p>
        </w:tc>
        <w:tc>
          <w:tcPr>
            <w:tcW w:type="dxa" w:w="1080"/>
          </w:tcPr>
          <w:p>
            <w:r>
              <w:t>2026</w:t>
            </w:r>
          </w:p>
        </w:tc>
        <w:tc>
          <w:tcPr>
            <w:tcW w:type="dxa" w:w="1080"/>
          </w:tcPr>
          <w:p>
            <w:r>
              <w:t>doi:10.1016/j.lanwpc.2025.101780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Brandhorst S et al.</w:t>
            </w:r>
          </w:p>
        </w:tc>
        <w:tc>
          <w:tcPr>
            <w:tcW w:type="dxa" w:w="1080"/>
          </w:tcPr>
          <w:p>
            <w:r>
              <w:t>Fasting-mimicking diet and biological age</w:t>
            </w:r>
          </w:p>
        </w:tc>
        <w:tc>
          <w:tcPr>
            <w:tcW w:type="dxa" w:w="1080"/>
          </w:tcPr>
          <w:p>
            <w:r>
              <w:t>Nat Commun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PMID:38378685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Chung CL et al.</w:t>
            </w:r>
          </w:p>
        </w:tc>
        <w:tc>
          <w:tcPr>
            <w:tcW w:type="dxa" w:w="1080"/>
          </w:tcPr>
          <w:p>
            <w:r>
              <w:t>Topical rapamycin in human skin RCT</w:t>
            </w:r>
          </w:p>
        </w:tc>
        <w:tc>
          <w:tcPr>
            <w:tcW w:type="dxa" w:w="1080"/>
          </w:tcPr>
          <w:p>
            <w:r>
              <w:t>GeroScience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PMID:31761958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Moel M et al.</w:t>
            </w:r>
          </w:p>
        </w:tc>
        <w:tc>
          <w:tcPr>
            <w:tcW w:type="dxa" w:w="1080"/>
          </w:tcPr>
          <w:p>
            <w:r>
              <w:t>PEARL rapamycin trial</w:t>
            </w:r>
          </w:p>
        </w:tc>
        <w:tc>
          <w:tcPr>
            <w:tcW w:type="dxa" w:w="1080"/>
          </w:tcPr>
          <w:p>
            <w:r>
              <w:t>Aging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PMID:40188830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Brandhorst S et al.</w:t>
            </w:r>
          </w:p>
        </w:tc>
        <w:tc>
          <w:tcPr>
            <w:tcW w:type="dxa" w:w="1080"/>
          </w:tcPr>
          <w:p>
            <w:r>
              <w:t>FMD promotes multi-system regeneration (Cell Metab 2015)</w:t>
            </w:r>
          </w:p>
        </w:tc>
        <w:tc>
          <w:tcPr>
            <w:tcW w:type="dxa" w:w="1080"/>
          </w:tcPr>
          <w:p>
            <w:r>
              <w:t>Cell Metab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PMID:26094889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Collins J et al.</w:t>
            </w:r>
          </w:p>
        </w:tc>
        <w:tc>
          <w:tcPr>
            <w:tcW w:type="dxa" w:w="1080"/>
          </w:tcPr>
          <w:p>
            <w:r>
              <w:t>Creatine + resistance training in older frail subjects</w:t>
            </w:r>
          </w:p>
        </w:tc>
        <w:tc>
          <w:tcPr>
            <w:tcW w:type="dxa" w:w="1080"/>
          </w:tcPr>
          <w:p>
            <w:r>
              <w:t>J Frailty Aging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doi:10.14283/jfa.2016.85</w:t>
            </w:r>
          </w:p>
        </w:tc>
        <w:tc>
          <w:tcPr>
            <w:tcW w:type="dxa" w:w="1080"/>
          </w:tcPr>
          <w:p>
            <w:r>
              <w:t>All-caps author formatting (COLLINS J.; LONGHURST G.; ROSCHEL H.; GUALANO B.)</w:t>
            </w:r>
          </w:p>
        </w:tc>
        <w:tc>
          <w:tcPr>
            <w:tcW w:type="dxa" w:w="1080"/>
          </w:tcPr>
          <w:p>
            <w:r>
              <w:t>Fixed to title case: Collins J, Longhurst G, Roschel H, Gualano B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Houston DK et al.</w:t>
            </w:r>
          </w:p>
        </w:tc>
        <w:tc>
          <w:tcPr>
            <w:tcW w:type="dxa" w:w="1080"/>
          </w:tcPr>
          <w:p>
            <w:r>
              <w:t>Caloric restriction + TRE in older adults (HALLO pilot)</w:t>
            </w:r>
          </w:p>
        </w:tc>
        <w:tc>
          <w:tcPr>
            <w:tcW w:type="dxa" w:w="1080"/>
          </w:tcPr>
          <w:p>
            <w:r>
              <w:t>J Gerontol A</w:t>
            </w:r>
          </w:p>
        </w:tc>
        <w:tc>
          <w:tcPr>
            <w:tcW w:type="dxa" w:w="1080"/>
          </w:tcPr>
          <w:p>
            <w:r>
              <w:t>2026</w:t>
            </w:r>
          </w:p>
        </w:tc>
        <w:tc>
          <w:tcPr>
            <w:tcW w:type="dxa" w:w="1080"/>
          </w:tcPr>
          <w:p>
            <w:r>
              <w:t>doi:10.1093/gerona/glag061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Olaso-Gonzalez G et al.</w:t>
            </w:r>
          </w:p>
        </w:tc>
        <w:tc>
          <w:tcPr>
            <w:tcW w:type="dxa" w:w="1080"/>
          </w:tcPr>
          <w:p>
            <w:r>
              <w:t>Multidomain lifestyle intervention and epigenetic aging in frail older adults</w:t>
            </w:r>
          </w:p>
        </w:tc>
        <w:tc>
          <w:tcPr>
            <w:tcW w:type="dxa" w:w="1080"/>
          </w:tcPr>
          <w:p>
            <w:r>
              <w:t>Aging Cell</w:t>
            </w:r>
          </w:p>
        </w:tc>
        <w:tc>
          <w:tcPr>
            <w:tcW w:type="dxa" w:w="1080"/>
          </w:tcPr>
          <w:p>
            <w:r>
              <w:t>2026</w:t>
            </w:r>
          </w:p>
        </w:tc>
        <w:tc>
          <w:tcPr>
            <w:tcW w:type="dxa" w:w="1080"/>
          </w:tcPr>
          <w:p>
            <w:r>
              <w:t>doi:10.1111/acel.70376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Ji J et al.</w:t>
            </w:r>
          </w:p>
        </w:tc>
        <w:tc>
          <w:tcPr>
            <w:tcW w:type="dxa" w:w="1080"/>
          </w:tcPr>
          <w:p>
            <w:r>
              <w:t>TROFFi fisetin senolytic phase II RCT design</w:t>
            </w:r>
          </w:p>
        </w:tc>
        <w:tc>
          <w:tcPr>
            <w:tcW w:type="dxa" w:w="1080"/>
          </w:tcPr>
          <w:p>
            <w:r>
              <w:t>Ther Adv Med Oncol</w:t>
            </w:r>
          </w:p>
        </w:tc>
        <w:tc>
          <w:tcPr>
            <w:tcW w:type="dxa" w:w="1080"/>
          </w:tcPr>
          <w:p>
            <w:r>
              <w:t>2026</w:t>
            </w:r>
          </w:p>
        </w:tc>
        <w:tc>
          <w:tcPr>
            <w:tcW w:type="dxa" w:w="1080"/>
          </w:tcPr>
          <w:p>
            <w:r>
              <w:t>doi:10.1177/17588359261424668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000000"/>
        </w:rPr>
        <w:t>3. Critical Issues Found and Resolved</w:t>
      </w:r>
    </w:p>
    <w:p>
      <w:r>
        <w:rPr>
          <w:b/>
          <w:sz w:val="22"/>
        </w:rPr>
        <w:t xml:space="preserve">[CRITICAL] </w:t>
      </w:r>
      <w:r>
        <w:rPr>
          <w:sz w:val="22"/>
        </w:rPr>
        <w:t>Refs 15-40 in reference list not cited in text</w:t>
      </w:r>
    </w:p>
    <w:p>
      <w:r>
        <w:rPr>
          <w:b w:val="0"/>
          <w:i/>
          <w:sz w:val="22"/>
        </w:rPr>
        <w:t xml:space="preserve">  Reason: Non-standard for Vancouver-style numbered references</w:t>
      </w:r>
    </w:p>
    <w:p>
      <w:r>
        <w:rPr>
          <w:b w:val="0"/>
          <w:i/>
          <w:sz w:val="22"/>
        </w:rPr>
        <w:t xml:space="preserve">  Resolution: Moved refs 15-40 to Supplementary Table S1; cited collectively in Methods with [15-40]</w:t>
      </w:r>
    </w:p>
    <w:p/>
    <w:p>
      <w:r>
        <w:rPr>
          <w:b/>
          <w:sz w:val="22"/>
        </w:rPr>
        <w:t xml:space="preserve">[CRITICAL] </w:t>
      </w:r>
      <w:r>
        <w:rPr>
          <w:sz w:val="22"/>
        </w:rPr>
        <w:t>No Acknowledgements section in blinded manuscript</w:t>
      </w:r>
    </w:p>
    <w:p>
      <w:r>
        <w:rPr>
          <w:b w:val="0"/>
          <w:i/>
          <w:sz w:val="22"/>
        </w:rPr>
        <w:t xml:space="preserve">  Reason: Required by most journals even if empty</w:t>
      </w:r>
    </w:p>
    <w:p>
      <w:r>
        <w:rPr>
          <w:b w:val="0"/>
          <w:i/>
          <w:sz w:val="22"/>
        </w:rPr>
        <w:t xml:space="preserve">  Resolution: Added: Acknowledgements: None declared.</w:t>
      </w:r>
    </w:p>
    <w:p/>
    <w:p>
      <w:r>
        <w:rPr>
          <w:b/>
          <w:sz w:val="22"/>
        </w:rPr>
        <w:t xml:space="preserve">[MODERATE] </w:t>
      </w:r>
      <w:r>
        <w:rPr>
          <w:sz w:val="22"/>
        </w:rPr>
        <w:t>Ref 11 author formatting: ALL CAPS (COLLINS J.; LONGHURST G.)</w:t>
      </w:r>
    </w:p>
    <w:p>
      <w:r>
        <w:rPr>
          <w:b w:val="0"/>
          <w:i/>
          <w:sz w:val="22"/>
        </w:rPr>
        <w:t xml:space="preserve">  Reason: Non-standard Vancouver author formatting</w:t>
      </w:r>
    </w:p>
    <w:p>
      <w:r>
        <w:rPr>
          <w:b w:val="0"/>
          <w:i/>
          <w:sz w:val="22"/>
        </w:rPr>
        <w:t xml:space="preserve">  Resolution: Fixed to standard case: Collins J, Longhurst G, Roschel H, Gualano B</w:t>
      </w:r>
    </w:p>
    <w:p/>
    <w:p>
      <w:r>
        <w:rPr>
          <w:b/>
          <w:sz w:val="22"/>
        </w:rPr>
        <w:t xml:space="preserve">[MODERATE] </w:t>
      </w:r>
      <w:r>
        <w:rPr>
          <w:sz w:val="22"/>
        </w:rPr>
        <w:t>Ref 20 truncated journal name: 'Journal of Aging and Physical Activ.'</w:t>
      </w:r>
    </w:p>
    <w:p>
      <w:r>
        <w:rPr>
          <w:b w:val="0"/>
          <w:i/>
          <w:sz w:val="22"/>
        </w:rPr>
        <w:t xml:space="preserve">  Reason: Incomplete journal name</w:t>
      </w:r>
    </w:p>
    <w:p>
      <w:r>
        <w:rPr>
          <w:b w:val="0"/>
          <w:i/>
          <w:sz w:val="22"/>
        </w:rPr>
        <w:t xml:space="preserve">  Resolution: Fixed to: J Aging Phys Act (correct abbreviation)</w:t>
      </w:r>
    </w:p>
    <w:p/>
    <w:p>
      <w:r>
        <w:rPr>
          <w:b/>
          <w:sz w:val="22"/>
        </w:rPr>
        <w:t xml:space="preserve">[MODERATE] </w:t>
      </w:r>
      <w:r>
        <w:rPr>
          <w:sz w:val="22"/>
        </w:rPr>
        <w:t>6 PNG figures in submission folder but only 4 cited in main text</w:t>
      </w:r>
    </w:p>
    <w:p>
      <w:r>
        <w:rPr>
          <w:b w:val="0"/>
          <w:i/>
          <w:sz w:val="22"/>
        </w:rPr>
        <w:t xml:space="preserve">  Reason: Figures 5-6 (intervention_outcome_heatmap, mechanism_network) not referenced</w:t>
      </w:r>
    </w:p>
    <w:p>
      <w:r>
        <w:rPr>
          <w:b w:val="0"/>
          <w:i/>
          <w:sz w:val="22"/>
        </w:rPr>
        <w:t xml:space="preserve">  Resolution: Figures 1-4 cited in manuscript. Figs 5-6 remain in folder for potential supplementary use; noted in checklist for author decision</w:t>
      </w:r>
    </w:p>
    <w:p/>
    <w:p>
      <w:r>
        <w:rPr>
          <w:b/>
          <w:sz w:val="22"/>
        </w:rPr>
        <w:t xml:space="preserve">[MODERATE] </w:t>
      </w:r>
      <w:r>
        <w:rPr>
          <w:sz w:val="22"/>
        </w:rPr>
        <w:t>No protocol registration mentioned</w:t>
      </w:r>
    </w:p>
    <w:p>
      <w:r>
        <w:rPr>
          <w:b w:val="0"/>
          <w:i/>
          <w:sz w:val="22"/>
        </w:rPr>
        <w:t xml:space="preserve">  Reason: Systematic reviews should disclose registration status</w:t>
      </w:r>
    </w:p>
    <w:p>
      <w:r>
        <w:rPr>
          <w:b w:val="0"/>
          <w:i/>
          <w:sz w:val="22"/>
        </w:rPr>
        <w:t xml:space="preserve">  Resolution: Added statement to Methods: prospective registration recommended before full-scale rerun; noted as limitation</w:t>
      </w:r>
    </w:p>
    <w:p/>
    <w:p>
      <w:r>
        <w:rPr>
          <w:b/>
          <w:sz w:val="22"/>
        </w:rPr>
        <w:t xml:space="preserve">[MINOR] </w:t>
      </w:r>
      <w:r>
        <w:rPr>
          <w:sz w:val="22"/>
        </w:rPr>
        <w:t>Email: hssling@yahoo.com in submission vs hssling@gmail.com in system</w:t>
      </w:r>
    </w:p>
    <w:p>
      <w:r>
        <w:rPr>
          <w:b w:val="0"/>
          <w:i/>
          <w:sz w:val="22"/>
        </w:rPr>
        <w:t xml:space="preserve">  Reason: Possible email discrepancy</w:t>
      </w:r>
    </w:p>
    <w:p>
      <w:r>
        <w:rPr>
          <w:b w:val="0"/>
          <w:i/>
          <w:sz w:val="22"/>
        </w:rPr>
        <w:t xml:space="preserve">  Resolution: Flagged in title page and checklist. Author must confirm preferred correspondence email before submission</w:t>
      </w:r>
    </w:p>
    <w:p/>
    <w:p>
      <w:r>
        <w:rPr>
          <w:b/>
          <w:sz w:val="22"/>
        </w:rPr>
        <w:t xml:space="preserve">[MINOR] </w:t>
      </w:r>
      <w:r>
        <w:rPr>
          <w:sz w:val="22"/>
        </w:rPr>
        <w:t>Some refs use PMID, others use DOI (inconsistent identifier format)</w:t>
      </w:r>
    </w:p>
    <w:p>
      <w:r>
        <w:rPr>
          <w:b w:val="0"/>
          <w:i/>
          <w:sz w:val="22"/>
        </w:rPr>
        <w:t xml:space="preserve">  Reason: Vancouver style accepts either; mixed use is common</w:t>
      </w:r>
    </w:p>
    <w:p>
      <w:r>
        <w:rPr>
          <w:b w:val="0"/>
          <w:i/>
          <w:sz w:val="22"/>
        </w:rPr>
        <w:t xml:space="preserve">  Resolution: Retained as is; consistent within each reference</w:t>
      </w:r>
    </w:p>
    <w:p/>
    <w:p>
      <w:r>
        <w:rPr>
          <w:b/>
          <w:sz w:val="22"/>
        </w:rPr>
        <w:t xml:space="preserve">[MINOR] </w:t>
      </w:r>
      <w:r>
        <w:rPr>
          <w:sz w:val="22"/>
        </w:rPr>
        <w:t>Abstract conclusion lacked caveat about pending verification</w:t>
      </w:r>
    </w:p>
    <w:p>
      <w:r>
        <w:rPr>
          <w:b w:val="0"/>
          <w:i/>
          <w:sz w:val="22"/>
        </w:rPr>
        <w:t xml:space="preserve">  Reason: Overclaiming risk</w:t>
      </w:r>
    </w:p>
    <w:p>
      <w:r>
        <w:rPr>
          <w:b w:val="0"/>
          <w:i/>
          <w:sz w:val="22"/>
        </w:rPr>
        <w:t xml:space="preserve">  Resolution: Added explicit caveat in abstract conclusion</w:t>
      </w:r>
    </w:p>
    <w:p/>
    <w:p>
      <w:r>
        <w:rPr>
          <w:b/>
          <w:sz w:val="22"/>
        </w:rPr>
        <w:t xml:space="preserve">[INFO] </w:t>
      </w:r>
      <w:r>
        <w:rPr>
          <w:sz w:val="22"/>
        </w:rPr>
        <w:t>Word count ~2097-2250 words (main text only)</w:t>
      </w:r>
    </w:p>
    <w:p>
      <w:r>
        <w:rPr>
          <w:b w:val="0"/>
          <w:i/>
          <w:sz w:val="22"/>
        </w:rPr>
        <w:t xml:space="preserve">  Reason: Within typical review word limits for MJDRDYPU but short for a systematic review</w:t>
      </w:r>
    </w:p>
    <w:p>
      <w:r>
        <w:rPr>
          <w:b w:val="0"/>
          <w:i/>
          <w:sz w:val="22"/>
        </w:rPr>
        <w:t xml:space="preserve">  Resolution: Noted; author may expand Discussion if desired</w:t>
      </w:r>
    </w:p>
    <w:p/>
    <w:p>
      <w:r>
        <w:rPr>
          <w:b/>
          <w:sz w:val="22"/>
        </w:rPr>
        <w:t xml:space="preserve">[INFO] </w:t>
      </w:r>
      <w:r>
        <w:rPr>
          <w:sz w:val="22"/>
        </w:rPr>
        <w:t>Ref 28 (Munoz-Pardeza 2026) concerns youth with T1D, not older adults</w:t>
      </w:r>
    </w:p>
    <w:p>
      <w:r>
        <w:rPr>
          <w:b w:val="0"/>
          <w:i/>
          <w:sz w:val="22"/>
        </w:rPr>
        <w:t xml:space="preserve">  Reason: Marginally relevant to anti-ageing in older populations</w:t>
      </w:r>
    </w:p>
    <w:p>
      <w:r>
        <w:rPr>
          <w:b w:val="0"/>
          <w:i/>
          <w:sz w:val="22"/>
        </w:rPr>
        <w:t xml:space="preserve">  Resolution: Flagged in Supplementary Table S1 note; excluded from main text conclusions</w:t>
      </w:r>
    </w:p>
    <w:p/>
    <w:p>
      <w:pPr>
        <w:pStyle w:val="Heading2"/>
      </w:pPr>
      <w:r>
        <w:rPr>
          <w:color w:val="000000"/>
        </w:rPr>
        <w:t>4. In-Text Citation Audit</w:t>
      </w:r>
    </w:p>
    <w:p>
      <w:r>
        <w:rPr>
          <w:b w:val="0"/>
          <w:i w:val="0"/>
          <w:sz w:val="22"/>
        </w:rPr>
        <w:t>All references cited in text (refs [1]-[14]) appear in the corrected reference list. All citation numbers appear in sequential order of first appearance. No citation appears in text without a corresponding reference list entry. No reference list entry is missing from what is cited in text (for refs 1-14). Refs 15-40 have been moved to the supplementary file with collective citation in Methods.</w:t>
      </w:r>
    </w:p>
    <w:p>
      <w:r>
        <w:rPr>
          <w:b w:val="0"/>
          <w:i w:val="0"/>
          <w:sz w:val="22"/>
        </w:rPr>
        <w:t>Citation sequence audit: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Citation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Refs resolved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[1,2]</w:t>
            </w:r>
          </w:p>
        </w:tc>
        <w:tc>
          <w:tcPr>
            <w:tcW w:type="dxa" w:w="2160"/>
          </w:tcPr>
          <w:p>
            <w:r>
              <w:t>Introduction para 1</w:t>
            </w:r>
          </w:p>
        </w:tc>
        <w:tc>
          <w:tcPr>
            <w:tcW w:type="dxa" w:w="2160"/>
          </w:tcPr>
          <w:p>
            <w:r>
              <w:t>Yap KH (SINGER RCT); Zanotto T (exercise MS RCT)</w:t>
            </w:r>
          </w:p>
        </w:tc>
        <w:tc>
          <w:tcPr>
            <w:tcW w:type="dxa" w:w="2160"/>
          </w:tcPr>
          <w:p>
            <w:r>
              <w:t>OK - first citations in text</w:t>
            </w:r>
          </w:p>
        </w:tc>
      </w:tr>
      <w:tr>
        <w:tc>
          <w:tcPr>
            <w:tcW w:type="dxa" w:w="2160"/>
          </w:tcPr>
          <w:p>
            <w:r>
              <w:t>[3,4,5,6,7,8,9,10]</w:t>
            </w:r>
          </w:p>
        </w:tc>
        <w:tc>
          <w:tcPr>
            <w:tcW w:type="dxa" w:w="2160"/>
          </w:tcPr>
          <w:p>
            <w:r>
              <w:t>Introduction para 2</w:t>
            </w:r>
          </w:p>
        </w:tc>
        <w:tc>
          <w:tcPr>
            <w:tcW w:type="dxa" w:w="2160"/>
          </w:tcPr>
          <w:p>
            <w:r>
              <w:t>PROMOTe; Ring Fit; Resistance ex frailty; PA cohorts; FMD; Topical rapa; PEARL; FMD 2015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[3,4,5,6,7,8,9,10,11,12,13,14]</w:t>
            </w:r>
          </w:p>
        </w:tc>
        <w:tc>
          <w:tcPr>
            <w:tcW w:type="dxa" w:w="2160"/>
          </w:tcPr>
          <w:p>
            <w:r>
              <w:t>Results para 3</w:t>
            </w:r>
          </w:p>
        </w:tc>
        <w:tc>
          <w:tcPr>
            <w:tcW w:type="dxa" w:w="2160"/>
          </w:tcPr>
          <w:p>
            <w:r>
              <w:t>All 14 priority human refs</w:t>
            </w:r>
          </w:p>
        </w:tc>
        <w:tc>
          <w:tcPr>
            <w:tcW w:type="dxa" w:w="2160"/>
          </w:tcPr>
          <w:p>
            <w:r>
              <w:t>OK - appropriate collective citation</w:t>
            </w:r>
          </w:p>
        </w:tc>
      </w:tr>
      <w:tr>
        <w:tc>
          <w:tcPr>
            <w:tcW w:type="dxa" w:w="2160"/>
          </w:tcPr>
          <w:p>
            <w:r>
              <w:t>[2,4,6]</w:t>
            </w:r>
          </w:p>
        </w:tc>
        <w:tc>
          <w:tcPr>
            <w:tcW w:type="dxa" w:w="2160"/>
          </w:tcPr>
          <w:p>
            <w:r>
              <w:t>Results para 4</w:t>
            </w:r>
          </w:p>
        </w:tc>
        <w:tc>
          <w:tcPr>
            <w:tcW w:type="dxa" w:w="2160"/>
          </w:tcPr>
          <w:p>
            <w:r>
              <w:t>Exercise-specific refs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[3]</w:t>
            </w:r>
          </w:p>
        </w:tc>
        <w:tc>
          <w:tcPr>
            <w:tcW w:type="dxa" w:w="2160"/>
          </w:tcPr>
          <w:p>
            <w:r>
              <w:t>Results para 5</w:t>
            </w:r>
          </w:p>
        </w:tc>
        <w:tc>
          <w:tcPr>
            <w:tcW w:type="dxa" w:w="2160"/>
          </w:tcPr>
          <w:p>
            <w:r>
              <w:t>PROMOTe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[7]</w:t>
            </w:r>
          </w:p>
        </w:tc>
        <w:tc>
          <w:tcPr>
            <w:tcW w:type="dxa" w:w="2160"/>
          </w:tcPr>
          <w:p>
            <w:r>
              <w:t>Results para 5</w:t>
            </w:r>
          </w:p>
        </w:tc>
        <w:tc>
          <w:tcPr>
            <w:tcW w:type="dxa" w:w="2160"/>
          </w:tcPr>
          <w:p>
            <w:r>
              <w:t>FMD Nat Commun 2024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[12]</w:t>
            </w:r>
          </w:p>
        </w:tc>
        <w:tc>
          <w:tcPr>
            <w:tcW w:type="dxa" w:w="2160"/>
          </w:tcPr>
          <w:p>
            <w:r>
              <w:t>Results para 5</w:t>
            </w:r>
          </w:p>
        </w:tc>
        <w:tc>
          <w:tcPr>
            <w:tcW w:type="dxa" w:w="2160"/>
          </w:tcPr>
          <w:p>
            <w:r>
              <w:t>HALLO pilot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[13]</w:t>
            </w:r>
          </w:p>
        </w:tc>
        <w:tc>
          <w:tcPr>
            <w:tcW w:type="dxa" w:w="2160"/>
          </w:tcPr>
          <w:p>
            <w:r>
              <w:t>Results para 5</w:t>
            </w:r>
          </w:p>
        </w:tc>
        <w:tc>
          <w:tcPr>
            <w:tcW w:type="dxa" w:w="2160"/>
          </w:tcPr>
          <w:p>
            <w:r>
              <w:t>Multidomain lifestyle RCT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[8]</w:t>
            </w:r>
          </w:p>
        </w:tc>
        <w:tc>
          <w:tcPr>
            <w:tcW w:type="dxa" w:w="2160"/>
          </w:tcPr>
          <w:p>
            <w:r>
              <w:t>Results para 6</w:t>
            </w:r>
          </w:p>
        </w:tc>
        <w:tc>
          <w:tcPr>
            <w:tcW w:type="dxa" w:w="2160"/>
          </w:tcPr>
          <w:p>
            <w:r>
              <w:t>Topical rapamycin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[9]</w:t>
            </w:r>
          </w:p>
        </w:tc>
        <w:tc>
          <w:tcPr>
            <w:tcW w:type="dxa" w:w="2160"/>
          </w:tcPr>
          <w:p>
            <w:r>
              <w:t>Results para 6</w:t>
            </w:r>
          </w:p>
        </w:tc>
        <w:tc>
          <w:tcPr>
            <w:tcW w:type="dxa" w:w="2160"/>
          </w:tcPr>
          <w:p>
            <w:r>
              <w:t>PEARL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[14]</w:t>
            </w:r>
          </w:p>
        </w:tc>
        <w:tc>
          <w:tcPr>
            <w:tcW w:type="dxa" w:w="2160"/>
          </w:tcPr>
          <w:p>
            <w:r>
              <w:t>Results para 6</w:t>
            </w:r>
          </w:p>
        </w:tc>
        <w:tc>
          <w:tcPr>
            <w:tcW w:type="dxa" w:w="2160"/>
          </w:tcPr>
          <w:p>
            <w:r>
              <w:t>TROFFi fisetin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[2,4,5,6]</w:t>
            </w:r>
          </w:p>
        </w:tc>
        <w:tc>
          <w:tcPr>
            <w:tcW w:type="dxa" w:w="2160"/>
          </w:tcPr>
          <w:p>
            <w:r>
              <w:t>Discussion para 1</w:t>
            </w:r>
          </w:p>
        </w:tc>
        <w:tc>
          <w:tcPr>
            <w:tcW w:type="dxa" w:w="2160"/>
          </w:tcPr>
          <w:p>
            <w:r>
              <w:t>Exercise refs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[3,7,8,9,12,13,14]</w:t>
            </w:r>
          </w:p>
        </w:tc>
        <w:tc>
          <w:tcPr>
            <w:tcW w:type="dxa" w:w="2160"/>
          </w:tcPr>
          <w:p>
            <w:r>
              <w:t>Discussion para 2</w:t>
            </w:r>
          </w:p>
        </w:tc>
        <w:tc>
          <w:tcPr>
            <w:tcW w:type="dxa" w:w="2160"/>
          </w:tcPr>
          <w:p>
            <w:r>
              <w:t>Pharmacologic and nutritional refs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[15-40]</w:t>
            </w:r>
          </w:p>
        </w:tc>
        <w:tc>
          <w:tcPr>
            <w:tcW w:type="dxa" w:w="2160"/>
          </w:tcPr>
          <w:p>
            <w:r>
              <w:t>Methods (collective)</w:t>
            </w:r>
          </w:p>
        </w:tc>
        <w:tc>
          <w:tcPr>
            <w:tcW w:type="dxa" w:w="2160"/>
          </w:tcPr>
          <w:p>
            <w:r>
              <w:t>Additional search records</w:t>
            </w:r>
          </w:p>
        </w:tc>
        <w:tc>
          <w:tcPr>
            <w:tcW w:type="dxa" w:w="2160"/>
          </w:tcPr>
          <w:p>
            <w:r>
              <w:t>Added in corrected version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