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Author proof response — concise version</w:t>
      </w:r>
    </w:p>
    <w:p>
      <w:pPr>
        <w:jc w:val="center"/>
      </w:pPr>
      <w:r>
        <w:rPr>
          <w:sz w:val="19"/>
        </w:rPr>
        <w:t>Medical Journal of Dr. D.Y. Patil Vidyapeeth | Manuscript mjdrdypu_451_26</w:t>
      </w:r>
    </w:p>
    <w:p>
      <w:pPr>
        <w:spacing w:after="80"/>
      </w:pPr>
      <w:r>
        <w:rPr>
          <w:b w:val="0"/>
        </w:rPr>
        <w:t>Thank you for the author proof. Our responses are as follows.</w:t>
      </w:r>
    </w:p>
    <w:p>
      <w:pPr>
        <w:spacing w:after="80"/>
      </w:pPr>
      <w:r>
        <w:rPr>
          <w:b/>
        </w:rPr>
        <w:t xml:space="preserve">AQ1 — Article type and format. </w:t>
      </w:r>
    </w:p>
    <w:p>
      <w:pPr>
        <w:spacing w:after="80"/>
      </w:pPr>
      <w:r>
        <w:rPr>
          <w:b w:val="0"/>
        </w:rPr>
        <w:t>Please retain the current Systematic Review/Evidence Map classification. If journal policy permits this structured secondary evidence synthesis to be classified as an Original Article, we would welcome that classification; otherwise, no change is needed.</w:t>
      </w:r>
    </w:p>
    <w:p>
      <w:pPr>
        <w:spacing w:after="80"/>
      </w:pPr>
      <w:r>
        <w:rPr>
          <w:b/>
        </w:rPr>
        <w:t xml:space="preserve">AQ2 — Supplementary material. </w:t>
      </w:r>
    </w:p>
    <w:p>
      <w:pPr>
        <w:spacing w:after="80"/>
      </w:pPr>
      <w:r>
        <w:rPr>
          <w:b w:val="0"/>
        </w:rPr>
        <w:t>Yes, supplementary material is required. Please retain it as a separate file; it contains supporting Figures S1–S4 and Tables S1–S9.</w:t>
      </w:r>
    </w:p>
    <w:p>
      <w:pPr>
        <w:spacing w:after="80"/>
      </w:pPr>
      <w:r>
        <w:rPr>
          <w:b/>
        </w:rPr>
        <w:t xml:space="preserve">Reference and spelling check. </w:t>
      </w:r>
    </w:p>
    <w:p>
      <w:pPr>
        <w:spacing w:after="80"/>
      </w:pPr>
      <w:r>
        <w:rPr>
          <w:b w:val="0"/>
        </w:rPr>
        <w:t>References 1–14 were rechecked in the author-proof PDF and source records. No reference modification or substantive spelling correction is requested.</w:t>
      </w:r>
    </w:p>
    <w:p>
      <w:pPr>
        <w:spacing w:after="80"/>
      </w:pPr>
      <w:r>
        <w:rPr>
          <w:b/>
        </w:rPr>
        <w:t xml:space="preserve">Repository address. </w:t>
      </w:r>
    </w:p>
    <w:p>
      <w:pPr>
        <w:spacing w:after="80"/>
      </w:pPr>
      <w:r>
        <w:rPr>
          <w:b w:val="0"/>
        </w:rPr>
        <w:t>Please keep the existing repository-root address in the article; no link correction is requested.</w:t>
      </w:r>
    </w:p>
    <w:p>
      <w:pPr>
        <w:spacing w:after="80"/>
      </w:pPr>
      <w:r>
        <w:rPr>
          <w:b/>
        </w:rPr>
        <w:t xml:space="preserve">Editorial confirmation. </w:t>
      </w:r>
    </w:p>
    <w:p>
      <w:pPr>
        <w:spacing w:after="80"/>
      </w:pPr>
      <w:r>
        <w:rPr>
          <w:b w:val="0"/>
        </w:rPr>
        <w:t>No other substantive correction is requested. Production details, pagination, volume/issue information, and routine copyediting may be completed by the editorial team. The term “controversial” may be retained where used in the accepted manuscript to reflect the current evidence framing.</w:t>
      </w:r>
    </w:p>
    <w:p>
      <w:pPr>
        <w:spacing w:after="80"/>
      </w:pPr>
      <w:r>
        <w:rPr>
          <w:b w:val="0"/>
        </w:rPr>
        <w:t>Thank you.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