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Tables and Figures</w:t>
        <w:br/>
        <w:br/>
      </w:r>
      <w:r>
        <w:rPr>
          <w:b/>
          <w:sz w:val="28"/>
        </w:rPr>
        <w:t>Projected Burden of Multidrug-Resistant Tuberculosis in India (2025–2035):</w:t>
        <w:br/>
        <w:t>A Forecasting Analysis Using Verified National Surveillance Data</w:t>
      </w:r>
    </w:p>
    <w:p/>
    <w:p>
      <w:r>
        <w:br w:type="page"/>
      </w:r>
    </w:p>
    <w:p>
      <w:pPr>
        <w:jc w:val="left"/>
      </w:pPr>
      <w:r>
        <w:rPr>
          <w:b/>
          <w:sz w:val="24"/>
        </w:rPr>
        <w:t>Table 1. Forecasting Model Performance Metrics and Selection Criteria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jc w:val="center"/>
            </w:pPr>
            <w:r>
              <w:rPr>
                <w:b/>
                <w:sz w:val="22"/>
              </w:rPr>
              <w:t>Model</w:t>
            </w:r>
          </w:p>
        </w:tc>
        <w:tc>
          <w:tcPr>
            <w:tcW w:type="dxa" w:w="1234"/>
            <w:shd w:fill="D9E2F3"/>
          </w:tcPr>
          <w:p>
            <w:pPr>
              <w:jc w:val="center"/>
            </w:pPr>
            <w:r>
              <w:rPr>
                <w:b/>
                <w:sz w:val="22"/>
              </w:rPr>
              <w:t>AIC</w:t>
            </w:r>
          </w:p>
        </w:tc>
        <w:tc>
          <w:tcPr>
            <w:tcW w:type="dxa" w:w="1234"/>
            <w:shd w:fill="D9E2F3"/>
          </w:tcPr>
          <w:p>
            <w:pPr>
              <w:jc w:val="center"/>
            </w:pPr>
            <w:r>
              <w:rPr>
                <w:b/>
                <w:sz w:val="22"/>
              </w:rPr>
              <w:t>BIC</w:t>
            </w:r>
          </w:p>
        </w:tc>
        <w:tc>
          <w:tcPr>
            <w:tcW w:type="dxa" w:w="1234"/>
            <w:shd w:fill="D9E2F3"/>
          </w:tcPr>
          <w:p>
            <w:pPr>
              <w:jc w:val="center"/>
            </w:pPr>
            <w:r>
              <w:rPr>
                <w:b/>
                <w:sz w:val="22"/>
              </w:rPr>
              <w:t>RMSE</w:t>
            </w:r>
          </w:p>
        </w:tc>
        <w:tc>
          <w:tcPr>
            <w:tcW w:type="dxa" w:w="1234"/>
            <w:shd w:fill="D9E2F3"/>
          </w:tcPr>
          <w:p>
            <w:pPr>
              <w:jc w:val="center"/>
            </w:pPr>
            <w:r>
              <w:rPr>
                <w:b/>
                <w:sz w:val="22"/>
              </w:rPr>
              <w:t>MAE</w:t>
            </w:r>
          </w:p>
        </w:tc>
        <w:tc>
          <w:tcPr>
            <w:tcW w:type="dxa" w:w="1234"/>
            <w:shd w:fill="D9E2F3"/>
          </w:tcPr>
          <w:p>
            <w:pPr>
              <w:jc w:val="center"/>
            </w:pPr>
            <w:r>
              <w:rPr>
                <w:b/>
                <w:sz w:val="22"/>
              </w:rPr>
              <w:t>R²</w:t>
            </w:r>
          </w:p>
        </w:tc>
        <w:tc>
          <w:tcPr>
            <w:tcW w:type="dxa" w:w="1234"/>
            <w:shd w:fill="D9E2F3"/>
          </w:tcPr>
          <w:p>
            <w:pPr>
              <w:jc w:val="center"/>
            </w:pPr>
            <w:r>
              <w:rPr>
                <w:b/>
                <w:sz w:val="22"/>
              </w:rPr>
              <w:t>Selected</w:t>
            </w:r>
          </w:p>
        </w:tc>
      </w:tr>
      <w:tr>
        <w:tc>
          <w:tcPr>
            <w:tcW w:type="dxa" w:w="1234"/>
          </w:tcPr>
          <w:p>
            <w:r>
              <w:rPr>
                <w:sz w:val="20"/>
              </w:rPr>
              <w:t>Simple Exponential Smoothing</w:t>
            </w:r>
          </w:p>
        </w:tc>
        <w:tc>
          <w:tcPr>
            <w:tcW w:type="dxa" w:w="1234"/>
          </w:tcPr>
          <w:p>
            <w:pPr>
              <w:jc w:val="right"/>
            </w:pPr>
            <w:r>
              <w:rPr>
                <w:sz w:val="20"/>
              </w:rPr>
              <w:t>168.3</w:t>
            </w:r>
          </w:p>
        </w:tc>
        <w:tc>
          <w:tcPr>
            <w:tcW w:type="dxa" w:w="1234"/>
          </w:tcPr>
          <w:p>
            <w:pPr>
              <w:jc w:val="right"/>
            </w:pPr>
            <w:r>
              <w:rPr>
                <w:sz w:val="20"/>
              </w:rPr>
              <w:t>169.1</w:t>
            </w:r>
          </w:p>
        </w:tc>
        <w:tc>
          <w:tcPr>
            <w:tcW w:type="dxa" w:w="1234"/>
          </w:tcPr>
          <w:p>
            <w:pPr>
              <w:jc w:val="right"/>
            </w:pPr>
            <w:r>
              <w:rPr>
                <w:sz w:val="20"/>
              </w:rPr>
              <w:t>3,421</w:t>
            </w:r>
          </w:p>
        </w:tc>
        <w:tc>
          <w:tcPr>
            <w:tcW w:type="dxa" w:w="1234"/>
          </w:tcPr>
          <w:p>
            <w:pPr>
              <w:jc w:val="right"/>
            </w:pPr>
            <w:r>
              <w:rPr>
                <w:sz w:val="20"/>
              </w:rPr>
              <w:t>2,856</w:t>
            </w:r>
          </w:p>
        </w:tc>
        <w:tc>
          <w:tcPr>
            <w:tcW w:type="dxa" w:w="1234"/>
          </w:tcPr>
          <w:p>
            <w:pPr>
              <w:jc w:val="right"/>
            </w:pPr>
            <w:r>
              <w:rPr>
                <w:sz w:val="20"/>
              </w:rPr>
              <w:t>0.82</w:t>
            </w:r>
          </w:p>
        </w:tc>
        <w:tc>
          <w:tcPr>
            <w:tcW w:type="dxa" w:w="1234"/>
          </w:tcPr>
          <w:p>
            <w:pPr>
              <w:jc w:val="right"/>
            </w:pPr>
            <w:r>
              <w:rPr>
                <w:sz w:val="20"/>
              </w:rPr>
              <w:t>No</w:t>
            </w:r>
          </w:p>
        </w:tc>
      </w:tr>
      <w:tr>
        <w:tc>
          <w:tcPr>
            <w:tcW w:type="dxa" w:w="1234"/>
          </w:tcPr>
          <w:p>
            <w:r>
              <w:rPr>
                <w:sz w:val="20"/>
              </w:rPr>
              <w:t>Holt's Linear Trend</w:t>
            </w:r>
          </w:p>
        </w:tc>
        <w:tc>
          <w:tcPr>
            <w:tcW w:type="dxa" w:w="1234"/>
          </w:tcPr>
          <w:p>
            <w:pPr>
              <w:jc w:val="right"/>
            </w:pPr>
            <w:r>
              <w:rPr>
                <w:sz w:val="20"/>
              </w:rPr>
              <w:t>165.2</w:t>
            </w:r>
          </w:p>
        </w:tc>
        <w:tc>
          <w:tcPr>
            <w:tcW w:type="dxa" w:w="1234"/>
          </w:tcPr>
          <w:p>
            <w:pPr>
              <w:jc w:val="right"/>
            </w:pPr>
            <w:r>
              <w:rPr>
                <w:sz w:val="20"/>
              </w:rPr>
              <w:t>166.8</w:t>
            </w:r>
          </w:p>
        </w:tc>
        <w:tc>
          <w:tcPr>
            <w:tcW w:type="dxa" w:w="1234"/>
          </w:tcPr>
          <w:p>
            <w:pPr>
              <w:jc w:val="right"/>
            </w:pPr>
            <w:r>
              <w:rPr>
                <w:sz w:val="20"/>
              </w:rPr>
              <w:t>3,187</w:t>
            </w:r>
          </w:p>
        </w:tc>
        <w:tc>
          <w:tcPr>
            <w:tcW w:type="dxa" w:w="1234"/>
          </w:tcPr>
          <w:p>
            <w:pPr>
              <w:jc w:val="right"/>
            </w:pPr>
            <w:r>
              <w:rPr>
                <w:sz w:val="20"/>
              </w:rPr>
              <w:t>2,634</w:t>
            </w:r>
          </w:p>
        </w:tc>
        <w:tc>
          <w:tcPr>
            <w:tcW w:type="dxa" w:w="1234"/>
          </w:tcPr>
          <w:p>
            <w:pPr>
              <w:jc w:val="right"/>
            </w:pPr>
            <w:r>
              <w:rPr>
                <w:sz w:val="20"/>
              </w:rPr>
              <w:t>0.85</w:t>
            </w:r>
          </w:p>
        </w:tc>
        <w:tc>
          <w:tcPr>
            <w:tcW w:type="dxa" w:w="1234"/>
          </w:tcPr>
          <w:p>
            <w:pPr>
              <w:jc w:val="right"/>
            </w:pPr>
            <w:r>
              <w:rPr>
                <w:sz w:val="20"/>
              </w:rPr>
              <w:t>No</w:t>
            </w:r>
          </w:p>
        </w:tc>
      </w:tr>
      <w:tr>
        <w:tc>
          <w:tcPr>
            <w:tcW w:type="dxa" w:w="1234"/>
          </w:tcPr>
          <w:p>
            <w:r>
              <w:rPr>
                <w:sz w:val="20"/>
              </w:rPr>
              <w:t>Holt-Winters Damped Trend</w:t>
            </w:r>
          </w:p>
        </w:tc>
        <w:tc>
          <w:tcPr>
            <w:tcW w:type="dxa" w:w="1234"/>
          </w:tcPr>
          <w:p>
            <w:pPr>
              <w:jc w:val="right"/>
            </w:pPr>
            <w:r>
              <w:rPr>
                <w:sz w:val="20"/>
              </w:rPr>
              <w:t>161.7</w:t>
            </w:r>
          </w:p>
        </w:tc>
        <w:tc>
          <w:tcPr>
            <w:tcW w:type="dxa" w:w="1234"/>
          </w:tcPr>
          <w:p>
            <w:pPr>
              <w:jc w:val="right"/>
            </w:pPr>
            <w:r>
              <w:rPr>
                <w:sz w:val="20"/>
              </w:rPr>
              <w:t>162.1</w:t>
            </w:r>
          </w:p>
        </w:tc>
        <w:tc>
          <w:tcPr>
            <w:tcW w:type="dxa" w:w="1234"/>
          </w:tcPr>
          <w:p>
            <w:pPr>
              <w:jc w:val="right"/>
            </w:pPr>
            <w:r>
              <w:rPr>
                <w:sz w:val="20"/>
              </w:rPr>
              <w:t>2,847</w:t>
            </w:r>
          </w:p>
        </w:tc>
        <w:tc>
          <w:tcPr>
            <w:tcW w:type="dxa" w:w="1234"/>
          </w:tcPr>
          <w:p>
            <w:pPr>
              <w:jc w:val="right"/>
            </w:pPr>
            <w:r>
              <w:rPr>
                <w:sz w:val="20"/>
              </w:rPr>
              <w:t>2,312</w:t>
            </w:r>
          </w:p>
        </w:tc>
        <w:tc>
          <w:tcPr>
            <w:tcW w:type="dxa" w:w="1234"/>
          </w:tcPr>
          <w:p>
            <w:pPr>
              <w:jc w:val="right"/>
            </w:pPr>
            <w:r>
              <w:rPr>
                <w:sz w:val="20"/>
              </w:rPr>
              <w:t>0.89</w:t>
            </w:r>
          </w:p>
        </w:tc>
        <w:tc>
          <w:tcPr>
            <w:tcW w:type="dxa" w:w="1234"/>
            <w:shd w:fill="E2EFDA"/>
          </w:tcPr>
          <w:p>
            <w:pPr>
              <w:jc w:val="right"/>
            </w:pPr>
            <w:r>
              <w:rPr>
                <w:b/>
                <w:sz w:val="20"/>
              </w:rPr>
              <w:t>Yes ✓</w:t>
            </w:r>
          </w:p>
        </w:tc>
      </w:tr>
      <w:tr>
        <w:tc>
          <w:tcPr>
            <w:tcW w:type="dxa" w:w="1234"/>
          </w:tcPr>
          <w:p>
            <w:r>
              <w:rPr>
                <w:sz w:val="20"/>
              </w:rPr>
              <w:t>ARIMA(1,1,1)</w:t>
            </w:r>
          </w:p>
        </w:tc>
        <w:tc>
          <w:tcPr>
            <w:tcW w:type="dxa" w:w="1234"/>
          </w:tcPr>
          <w:p>
            <w:pPr>
              <w:jc w:val="right"/>
            </w:pPr>
            <w:r>
              <w:rPr>
                <w:sz w:val="20"/>
              </w:rPr>
              <w:t>164.5</w:t>
            </w:r>
          </w:p>
        </w:tc>
        <w:tc>
          <w:tcPr>
            <w:tcW w:type="dxa" w:w="1234"/>
          </w:tcPr>
          <w:p>
            <w:pPr>
              <w:jc w:val="right"/>
            </w:pPr>
            <w:r>
              <w:rPr>
                <w:sz w:val="20"/>
              </w:rPr>
              <w:t>166.2</w:t>
            </w:r>
          </w:p>
        </w:tc>
        <w:tc>
          <w:tcPr>
            <w:tcW w:type="dxa" w:w="1234"/>
          </w:tcPr>
          <w:p>
            <w:pPr>
              <w:jc w:val="right"/>
            </w:pPr>
            <w:r>
              <w:rPr>
                <w:sz w:val="20"/>
              </w:rPr>
              <w:t>3,098</w:t>
            </w:r>
          </w:p>
        </w:tc>
        <w:tc>
          <w:tcPr>
            <w:tcW w:type="dxa" w:w="1234"/>
          </w:tcPr>
          <w:p>
            <w:pPr>
              <w:jc w:val="right"/>
            </w:pPr>
            <w:r>
              <w:rPr>
                <w:sz w:val="20"/>
              </w:rPr>
              <w:t>2,589</w:t>
            </w:r>
          </w:p>
        </w:tc>
        <w:tc>
          <w:tcPr>
            <w:tcW w:type="dxa" w:w="1234"/>
          </w:tcPr>
          <w:p>
            <w:pPr>
              <w:jc w:val="right"/>
            </w:pPr>
            <w:r>
              <w:rPr>
                <w:sz w:val="20"/>
              </w:rPr>
              <w:t>0.86</w:t>
            </w:r>
          </w:p>
        </w:tc>
        <w:tc>
          <w:tcPr>
            <w:tcW w:type="dxa" w:w="1234"/>
          </w:tcPr>
          <w:p>
            <w:pPr>
              <w:jc w:val="right"/>
            </w:pPr>
            <w:r>
              <w:rPr>
                <w:sz w:val="20"/>
              </w:rPr>
              <w:t>No</w:t>
            </w:r>
          </w:p>
        </w:tc>
      </w:tr>
      <w:tr>
        <w:tc>
          <w:tcPr>
            <w:tcW w:type="dxa" w:w="1234"/>
          </w:tcPr>
          <w:p>
            <w:r>
              <w:rPr>
                <w:sz w:val="20"/>
              </w:rPr>
              <w:t>ARIMA(2,1,2)</w:t>
            </w:r>
          </w:p>
        </w:tc>
        <w:tc>
          <w:tcPr>
            <w:tcW w:type="dxa" w:w="1234"/>
          </w:tcPr>
          <w:p>
            <w:pPr>
              <w:jc w:val="right"/>
            </w:pPr>
            <w:r>
              <w:rPr>
                <w:sz w:val="20"/>
              </w:rPr>
              <w:t>163.8</w:t>
            </w:r>
          </w:p>
        </w:tc>
        <w:tc>
          <w:tcPr>
            <w:tcW w:type="dxa" w:w="1234"/>
          </w:tcPr>
          <w:p>
            <w:pPr>
              <w:jc w:val="right"/>
            </w:pPr>
            <w:r>
              <w:rPr>
                <w:sz w:val="20"/>
              </w:rPr>
              <w:t>167.1</w:t>
            </w:r>
          </w:p>
        </w:tc>
        <w:tc>
          <w:tcPr>
            <w:tcW w:type="dxa" w:w="1234"/>
          </w:tcPr>
          <w:p>
            <w:pPr>
              <w:jc w:val="right"/>
            </w:pPr>
            <w:r>
              <w:rPr>
                <w:sz w:val="20"/>
              </w:rPr>
              <w:t>2,956</w:t>
            </w:r>
          </w:p>
        </w:tc>
        <w:tc>
          <w:tcPr>
            <w:tcW w:type="dxa" w:w="1234"/>
          </w:tcPr>
          <w:p>
            <w:pPr>
              <w:jc w:val="right"/>
            </w:pPr>
            <w:r>
              <w:rPr>
                <w:sz w:val="20"/>
              </w:rPr>
              <w:t>2,445</w:t>
            </w:r>
          </w:p>
        </w:tc>
        <w:tc>
          <w:tcPr>
            <w:tcW w:type="dxa" w:w="1234"/>
          </w:tcPr>
          <w:p>
            <w:pPr>
              <w:jc w:val="right"/>
            </w:pPr>
            <w:r>
              <w:rPr>
                <w:sz w:val="20"/>
              </w:rPr>
              <w:t>0.87</w:t>
            </w:r>
          </w:p>
        </w:tc>
        <w:tc>
          <w:tcPr>
            <w:tcW w:type="dxa" w:w="1234"/>
          </w:tcPr>
          <w:p>
            <w:pPr>
              <w:jc w:val="right"/>
            </w:pPr>
            <w:r>
              <w:rPr>
                <w:sz w:val="20"/>
              </w:rPr>
              <w:t>No</w:t>
            </w:r>
          </w:p>
        </w:tc>
      </w:tr>
      <w:tr>
        <w:tc>
          <w:tcPr>
            <w:tcW w:type="dxa" w:w="1234"/>
          </w:tcPr>
          <w:p>
            <w:r>
              <w:rPr>
                <w:sz w:val="20"/>
              </w:rPr>
              <w:t>Polynomial Regression (degree 2)</w:t>
            </w:r>
          </w:p>
        </w:tc>
        <w:tc>
          <w:tcPr>
            <w:tcW w:type="dxa" w:w="1234"/>
          </w:tcPr>
          <w:p>
            <w:pPr>
              <w:jc w:val="right"/>
            </w:pPr>
            <w:r>
              <w:rPr>
                <w:sz w:val="20"/>
              </w:rPr>
              <w:t>172.1</w:t>
            </w:r>
          </w:p>
        </w:tc>
        <w:tc>
          <w:tcPr>
            <w:tcW w:type="dxa" w:w="1234"/>
          </w:tcPr>
          <w:p>
            <w:pPr>
              <w:jc w:val="right"/>
            </w:pPr>
            <w:r>
              <w:rPr>
                <w:sz w:val="20"/>
              </w:rPr>
              <w:t>173.9</w:t>
            </w:r>
          </w:p>
        </w:tc>
        <w:tc>
          <w:tcPr>
            <w:tcW w:type="dxa" w:w="1234"/>
          </w:tcPr>
          <w:p>
            <w:pPr>
              <w:jc w:val="right"/>
            </w:pPr>
            <w:r>
              <w:rPr>
                <w:sz w:val="20"/>
              </w:rPr>
              <w:t>3,789</w:t>
            </w:r>
          </w:p>
        </w:tc>
        <w:tc>
          <w:tcPr>
            <w:tcW w:type="dxa" w:w="1234"/>
          </w:tcPr>
          <w:p>
            <w:pPr>
              <w:jc w:val="right"/>
            </w:pPr>
            <w:r>
              <w:rPr>
                <w:sz w:val="20"/>
              </w:rPr>
              <w:t>3,124</w:t>
            </w:r>
          </w:p>
        </w:tc>
        <w:tc>
          <w:tcPr>
            <w:tcW w:type="dxa" w:w="1234"/>
          </w:tcPr>
          <w:p>
            <w:pPr>
              <w:jc w:val="right"/>
            </w:pPr>
            <w:r>
              <w:rPr>
                <w:sz w:val="20"/>
              </w:rPr>
              <w:t>0.78</w:t>
            </w:r>
          </w:p>
        </w:tc>
        <w:tc>
          <w:tcPr>
            <w:tcW w:type="dxa" w:w="1234"/>
          </w:tcPr>
          <w:p>
            <w:pPr>
              <w:jc w:val="right"/>
            </w:pPr>
            <w:r>
              <w:rPr>
                <w:sz w:val="20"/>
              </w:rPr>
              <w:t>No</w:t>
            </w:r>
          </w:p>
        </w:tc>
      </w:tr>
      <w:tr>
        <w:tc>
          <w:tcPr>
            <w:tcW w:type="dxa" w:w="1234"/>
          </w:tcPr>
          <w:p>
            <w:r>
              <w:rPr>
                <w:sz w:val="20"/>
              </w:rPr>
              <w:t>Polynomial Regression (degree 3)</w:t>
            </w:r>
          </w:p>
        </w:tc>
        <w:tc>
          <w:tcPr>
            <w:tcW w:type="dxa" w:w="1234"/>
          </w:tcPr>
          <w:p>
            <w:pPr>
              <w:jc w:val="right"/>
            </w:pPr>
            <w:r>
              <w:rPr>
                <w:sz w:val="20"/>
              </w:rPr>
              <w:t>170.4</w:t>
            </w:r>
          </w:p>
        </w:tc>
        <w:tc>
          <w:tcPr>
            <w:tcW w:type="dxa" w:w="1234"/>
          </w:tcPr>
          <w:p>
            <w:pPr>
              <w:jc w:val="right"/>
            </w:pPr>
            <w:r>
              <w:rPr>
                <w:sz w:val="20"/>
              </w:rPr>
              <w:t>173.2</w:t>
            </w:r>
          </w:p>
        </w:tc>
        <w:tc>
          <w:tcPr>
            <w:tcW w:type="dxa" w:w="1234"/>
          </w:tcPr>
          <w:p>
            <w:pPr>
              <w:jc w:val="right"/>
            </w:pPr>
            <w:r>
              <w:rPr>
                <w:sz w:val="20"/>
              </w:rPr>
              <w:t>3,654</w:t>
            </w:r>
          </w:p>
        </w:tc>
        <w:tc>
          <w:tcPr>
            <w:tcW w:type="dxa" w:w="1234"/>
          </w:tcPr>
          <w:p>
            <w:pPr>
              <w:jc w:val="right"/>
            </w:pPr>
            <w:r>
              <w:rPr>
                <w:sz w:val="20"/>
              </w:rPr>
              <w:t>3,021</w:t>
            </w:r>
          </w:p>
        </w:tc>
        <w:tc>
          <w:tcPr>
            <w:tcW w:type="dxa" w:w="1234"/>
          </w:tcPr>
          <w:p>
            <w:pPr>
              <w:jc w:val="right"/>
            </w:pPr>
            <w:r>
              <w:rPr>
                <w:sz w:val="20"/>
              </w:rPr>
              <w:t>0.80</w:t>
            </w:r>
          </w:p>
        </w:tc>
        <w:tc>
          <w:tcPr>
            <w:tcW w:type="dxa" w:w="1234"/>
          </w:tcPr>
          <w:p>
            <w:pPr>
              <w:jc w:val="right"/>
            </w:pPr>
            <w:r>
              <w:rPr>
                <w:sz w:val="20"/>
              </w:rPr>
              <w:t>No</w:t>
            </w:r>
          </w:p>
        </w:tc>
      </w:tr>
    </w:tbl>
    <w:p>
      <w:r>
        <w:rPr>
          <w:i/>
          <w:sz w:val="20"/>
        </w:rPr>
        <w:t xml:space="preserve">Note: </w:t>
      </w:r>
      <w:r>
        <w:rPr>
          <w:sz w:val="20"/>
        </w:rPr>
        <w:t>AIC = Akaike Information Criterion; BIC = Bayesian Information Criterion; RMSE = Root Mean Square Error; MAE = Mean Absolute Error; R² = Coefficient of Determination. Lower AIC/BIC and RMSE values indicate better model fit. The Holt-Winters Damped Trend model was selected for optimal balance between goodness-of-fit and model parsimony.</w:t>
      </w:r>
    </w:p>
    <w:p>
      <w:r>
        <w:br w:type="page"/>
      </w:r>
    </w:p>
    <w:p>
      <w:pPr>
        <w:jc w:val="left"/>
      </w:pPr>
      <w:r>
        <w:rPr>
          <w:b/>
          <w:sz w:val="24"/>
        </w:rPr>
        <w:t>Table 2. Projected MDR-TB Burden and Policy Impact Under Three Scenarios (2025-2035)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Pr>
                <w:b/>
                <w:sz w:val="22"/>
              </w:rPr>
              <w:t>Year</w:t>
            </w:r>
          </w:p>
        </w:tc>
        <w:tc>
          <w:tcPr>
            <w:tcW w:type="dxa" w:w="1728"/>
            <w:shd w:fill="D9E2F3"/>
          </w:tcPr>
          <w:p>
            <w:pPr>
              <w:jc w:val="center"/>
            </w:pPr>
            <w:r>
              <w:rPr>
                <w:b/>
                <w:sz w:val="22"/>
              </w:rPr>
              <w:t>Status Quo</w:t>
            </w:r>
          </w:p>
        </w:tc>
        <w:tc>
          <w:tcPr>
            <w:tcW w:type="dxa" w:w="1728"/>
            <w:shd w:fill="D9E2F3"/>
          </w:tcPr>
          <w:p>
            <w:pPr>
              <w:jc w:val="center"/>
            </w:pPr>
            <w:r>
              <w:rPr>
                <w:b/>
                <w:sz w:val="22"/>
              </w:rPr>
              <w:t>Optimistic</w:t>
            </w:r>
          </w:p>
        </w:tc>
        <w:tc>
          <w:tcPr>
            <w:tcW w:type="dxa" w:w="1728"/>
            <w:shd w:fill="D9E2F3"/>
          </w:tcPr>
          <w:p>
            <w:pPr>
              <w:jc w:val="center"/>
            </w:pPr>
            <w:r>
              <w:rPr>
                <w:b/>
                <w:sz w:val="22"/>
              </w:rPr>
              <w:t>Pessimistic</w:t>
            </w:r>
          </w:p>
        </w:tc>
        <w:tc>
          <w:tcPr>
            <w:tcW w:type="dxa" w:w="1728"/>
            <w:shd w:fill="D9E2F3"/>
          </w:tcPr>
          <w:p>
            <w:pPr>
              <w:jc w:val="center"/>
            </w:pPr>
            <w:r>
              <w:rPr>
                <w:b/>
                <w:sz w:val="22"/>
              </w:rPr>
              <w:t>Cases Averted</w:t>
              <w:br/>
              <w:t>(Opt vs SQ)</w:t>
            </w:r>
          </w:p>
        </w:tc>
      </w:tr>
      <w:tr>
        <w:tc>
          <w:tcPr>
            <w:tcW w:type="dxa" w:w="1728"/>
          </w:tcPr>
          <w:p>
            <w:r>
              <w:rPr>
                <w:sz w:val="20"/>
              </w:rPr>
              <w:t>2025</w:t>
            </w:r>
          </w:p>
        </w:tc>
        <w:tc>
          <w:tcPr>
            <w:tcW w:type="dxa" w:w="1728"/>
          </w:tcPr>
          <w:p>
            <w:pPr>
              <w:jc w:val="right"/>
            </w:pPr>
            <w:r>
              <w:rPr>
                <w:sz w:val="20"/>
              </w:rPr>
              <w:t>68,450</w:t>
            </w:r>
          </w:p>
        </w:tc>
        <w:tc>
          <w:tcPr>
            <w:tcW w:type="dxa" w:w="1728"/>
          </w:tcPr>
          <w:p>
            <w:pPr>
              <w:jc w:val="right"/>
            </w:pPr>
            <w:r>
              <w:rPr>
                <w:sz w:val="20"/>
              </w:rPr>
              <w:t>65,028</w:t>
            </w:r>
          </w:p>
        </w:tc>
        <w:tc>
          <w:tcPr>
            <w:tcW w:type="dxa" w:w="1728"/>
          </w:tcPr>
          <w:p>
            <w:pPr>
              <w:jc w:val="right"/>
            </w:pPr>
            <w:r>
              <w:rPr>
                <w:sz w:val="20"/>
              </w:rPr>
              <w:t>69,572</w:t>
            </w:r>
          </w:p>
        </w:tc>
        <w:tc>
          <w:tcPr>
            <w:tcW w:type="dxa" w:w="1728"/>
          </w:tcPr>
          <w:p>
            <w:pPr>
              <w:jc w:val="right"/>
            </w:pPr>
            <w:r>
              <w:rPr>
                <w:sz w:val="20"/>
              </w:rPr>
              <w:t>3,422</w:t>
            </w:r>
          </w:p>
        </w:tc>
      </w:tr>
      <w:tr>
        <w:tc>
          <w:tcPr>
            <w:tcW w:type="dxa" w:w="1728"/>
          </w:tcPr>
          <w:p>
            <w:r>
              <w:rPr>
                <w:sz w:val="20"/>
              </w:rPr>
              <w:t>2026</w:t>
            </w:r>
          </w:p>
        </w:tc>
        <w:tc>
          <w:tcPr>
            <w:tcW w:type="dxa" w:w="1728"/>
          </w:tcPr>
          <w:p>
            <w:pPr>
              <w:jc w:val="right"/>
            </w:pPr>
            <w:r>
              <w:rPr>
                <w:sz w:val="20"/>
              </w:rPr>
              <w:t>72,380</w:t>
            </w:r>
          </w:p>
        </w:tc>
        <w:tc>
          <w:tcPr>
            <w:tcW w:type="dxa" w:w="1728"/>
          </w:tcPr>
          <w:p>
            <w:pPr>
              <w:jc w:val="right"/>
            </w:pPr>
            <w:r>
              <w:rPr>
                <w:sz w:val="20"/>
              </w:rPr>
              <w:t>63,561</w:t>
            </w:r>
          </w:p>
        </w:tc>
        <w:tc>
          <w:tcPr>
            <w:tcW w:type="dxa" w:w="1728"/>
          </w:tcPr>
          <w:p>
            <w:pPr>
              <w:jc w:val="right"/>
            </w:pPr>
            <w:r>
              <w:rPr>
                <w:sz w:val="20"/>
              </w:rPr>
              <w:t>71,027</w:t>
            </w:r>
          </w:p>
        </w:tc>
        <w:tc>
          <w:tcPr>
            <w:tcW w:type="dxa" w:w="1728"/>
          </w:tcPr>
          <w:p>
            <w:pPr>
              <w:jc w:val="right"/>
            </w:pPr>
            <w:r>
              <w:rPr>
                <w:sz w:val="20"/>
              </w:rPr>
              <w:t>8,819</w:t>
            </w:r>
          </w:p>
        </w:tc>
      </w:tr>
      <w:tr>
        <w:tc>
          <w:tcPr>
            <w:tcW w:type="dxa" w:w="1728"/>
          </w:tcPr>
          <w:p>
            <w:r>
              <w:rPr>
                <w:sz w:val="20"/>
              </w:rPr>
              <w:t>2027</w:t>
            </w:r>
          </w:p>
        </w:tc>
        <w:tc>
          <w:tcPr>
            <w:tcW w:type="dxa" w:w="1728"/>
          </w:tcPr>
          <w:p>
            <w:pPr>
              <w:jc w:val="right"/>
            </w:pPr>
            <w:r>
              <w:rPr>
                <w:sz w:val="20"/>
              </w:rPr>
              <w:t>76,120</w:t>
            </w:r>
          </w:p>
        </w:tc>
        <w:tc>
          <w:tcPr>
            <w:tcW w:type="dxa" w:w="1728"/>
          </w:tcPr>
          <w:p>
            <w:pPr>
              <w:jc w:val="right"/>
            </w:pPr>
            <w:r>
              <w:rPr>
                <w:sz w:val="20"/>
              </w:rPr>
              <w:t>62,183</w:t>
            </w:r>
          </w:p>
        </w:tc>
        <w:tc>
          <w:tcPr>
            <w:tcW w:type="dxa" w:w="1728"/>
          </w:tcPr>
          <w:p>
            <w:pPr>
              <w:jc w:val="right"/>
            </w:pPr>
            <w:r>
              <w:rPr>
                <w:sz w:val="20"/>
              </w:rPr>
              <w:t>72,508</w:t>
            </w:r>
          </w:p>
        </w:tc>
        <w:tc>
          <w:tcPr>
            <w:tcW w:type="dxa" w:w="1728"/>
          </w:tcPr>
          <w:p>
            <w:pPr>
              <w:jc w:val="right"/>
            </w:pPr>
            <w:r>
              <w:rPr>
                <w:sz w:val="20"/>
              </w:rPr>
              <w:t>13,937</w:t>
            </w:r>
          </w:p>
        </w:tc>
      </w:tr>
      <w:tr>
        <w:tc>
          <w:tcPr>
            <w:tcW w:type="dxa" w:w="1728"/>
          </w:tcPr>
          <w:p>
            <w:r>
              <w:rPr>
                <w:sz w:val="20"/>
              </w:rPr>
              <w:t>2028</w:t>
            </w:r>
          </w:p>
        </w:tc>
        <w:tc>
          <w:tcPr>
            <w:tcW w:type="dxa" w:w="1728"/>
          </w:tcPr>
          <w:p>
            <w:pPr>
              <w:jc w:val="right"/>
            </w:pPr>
            <w:r>
              <w:rPr>
                <w:sz w:val="20"/>
              </w:rPr>
              <w:t>79,680</w:t>
            </w:r>
          </w:p>
        </w:tc>
        <w:tc>
          <w:tcPr>
            <w:tcW w:type="dxa" w:w="1728"/>
          </w:tcPr>
          <w:p>
            <w:pPr>
              <w:jc w:val="right"/>
            </w:pPr>
            <w:r>
              <w:rPr>
                <w:sz w:val="20"/>
              </w:rPr>
              <w:t>60,874</w:t>
            </w:r>
          </w:p>
        </w:tc>
        <w:tc>
          <w:tcPr>
            <w:tcW w:type="dxa" w:w="1728"/>
          </w:tcPr>
          <w:p>
            <w:pPr>
              <w:jc w:val="right"/>
            </w:pPr>
            <w:r>
              <w:rPr>
                <w:sz w:val="20"/>
              </w:rPr>
              <w:t>74,018</w:t>
            </w:r>
          </w:p>
        </w:tc>
        <w:tc>
          <w:tcPr>
            <w:tcW w:type="dxa" w:w="1728"/>
          </w:tcPr>
          <w:p>
            <w:pPr>
              <w:jc w:val="right"/>
            </w:pPr>
            <w:r>
              <w:rPr>
                <w:sz w:val="20"/>
              </w:rPr>
              <w:t>18,806</w:t>
            </w:r>
          </w:p>
        </w:tc>
      </w:tr>
      <w:tr>
        <w:tc>
          <w:tcPr>
            <w:tcW w:type="dxa" w:w="1728"/>
          </w:tcPr>
          <w:p>
            <w:r>
              <w:rPr>
                <w:sz w:val="20"/>
              </w:rPr>
              <w:t>2029</w:t>
            </w:r>
          </w:p>
        </w:tc>
        <w:tc>
          <w:tcPr>
            <w:tcW w:type="dxa" w:w="1728"/>
          </w:tcPr>
          <w:p>
            <w:pPr>
              <w:jc w:val="right"/>
            </w:pPr>
            <w:r>
              <w:rPr>
                <w:sz w:val="20"/>
              </w:rPr>
              <w:t>82,070</w:t>
            </w:r>
          </w:p>
        </w:tc>
        <w:tc>
          <w:tcPr>
            <w:tcW w:type="dxa" w:w="1728"/>
          </w:tcPr>
          <w:p>
            <w:pPr>
              <w:jc w:val="right"/>
            </w:pPr>
            <w:r>
              <w:rPr>
                <w:sz w:val="20"/>
              </w:rPr>
              <w:t>59,630</w:t>
            </w:r>
          </w:p>
        </w:tc>
        <w:tc>
          <w:tcPr>
            <w:tcW w:type="dxa" w:w="1728"/>
          </w:tcPr>
          <w:p>
            <w:pPr>
              <w:jc w:val="right"/>
            </w:pPr>
            <w:r>
              <w:rPr>
                <w:sz w:val="20"/>
              </w:rPr>
              <w:t>75,558</w:t>
            </w:r>
          </w:p>
        </w:tc>
        <w:tc>
          <w:tcPr>
            <w:tcW w:type="dxa" w:w="1728"/>
          </w:tcPr>
          <w:p>
            <w:pPr>
              <w:jc w:val="right"/>
            </w:pPr>
            <w:r>
              <w:rPr>
                <w:sz w:val="20"/>
              </w:rPr>
              <w:t>22,440</w:t>
            </w:r>
          </w:p>
        </w:tc>
      </w:tr>
      <w:tr>
        <w:tc>
          <w:tcPr>
            <w:tcW w:type="dxa" w:w="1728"/>
            <w:shd w:fill="FFF2CC"/>
          </w:tcPr>
          <w:p>
            <w:r>
              <w:rPr>
                <w:b/>
                <w:sz w:val="20"/>
              </w:rPr>
              <w:t>2030</w:t>
            </w:r>
          </w:p>
        </w:tc>
        <w:tc>
          <w:tcPr>
            <w:tcW w:type="dxa" w:w="1728"/>
            <w:shd w:fill="FFF2CC"/>
          </w:tcPr>
          <w:p>
            <w:pPr>
              <w:jc w:val="right"/>
            </w:pPr>
            <w:r>
              <w:rPr>
                <w:b/>
                <w:sz w:val="20"/>
              </w:rPr>
              <w:t>84,205</w:t>
            </w:r>
          </w:p>
        </w:tc>
        <w:tc>
          <w:tcPr>
            <w:tcW w:type="dxa" w:w="1728"/>
            <w:shd w:fill="FFF2CC"/>
          </w:tcPr>
          <w:p>
            <w:pPr>
              <w:jc w:val="right"/>
            </w:pPr>
            <w:r>
              <w:rPr>
                <w:b/>
                <w:sz w:val="20"/>
              </w:rPr>
              <w:t>59,910</w:t>
            </w:r>
          </w:p>
        </w:tc>
        <w:tc>
          <w:tcPr>
            <w:tcW w:type="dxa" w:w="1728"/>
            <w:shd w:fill="FFF2CC"/>
          </w:tcPr>
          <w:p>
            <w:pPr>
              <w:jc w:val="right"/>
            </w:pPr>
            <w:r>
              <w:rPr>
                <w:b/>
                <w:sz w:val="20"/>
              </w:rPr>
              <w:t>91,782</w:t>
            </w:r>
          </w:p>
        </w:tc>
        <w:tc>
          <w:tcPr>
            <w:tcW w:type="dxa" w:w="1728"/>
            <w:shd w:fill="FFF2CC"/>
          </w:tcPr>
          <w:p>
            <w:pPr>
              <w:jc w:val="right"/>
            </w:pPr>
            <w:r>
              <w:rPr>
                <w:b/>
                <w:sz w:val="20"/>
              </w:rPr>
              <w:t>24,295</w:t>
            </w:r>
          </w:p>
        </w:tc>
      </w:tr>
      <w:tr>
        <w:tc>
          <w:tcPr>
            <w:tcW w:type="dxa" w:w="1728"/>
          </w:tcPr>
          <w:p>
            <w:r>
              <w:rPr>
                <w:sz w:val="20"/>
              </w:rPr>
              <w:t>2031</w:t>
            </w:r>
          </w:p>
        </w:tc>
        <w:tc>
          <w:tcPr>
            <w:tcW w:type="dxa" w:w="1728"/>
          </w:tcPr>
          <w:p>
            <w:pPr>
              <w:jc w:val="right"/>
            </w:pPr>
            <w:r>
              <w:rPr>
                <w:sz w:val="20"/>
              </w:rPr>
              <w:t>86,180</w:t>
            </w:r>
          </w:p>
        </w:tc>
        <w:tc>
          <w:tcPr>
            <w:tcW w:type="dxa" w:w="1728"/>
          </w:tcPr>
          <w:p>
            <w:pPr>
              <w:jc w:val="right"/>
            </w:pPr>
            <w:r>
              <w:rPr>
                <w:sz w:val="20"/>
              </w:rPr>
              <w:t>57,048</w:t>
            </w:r>
          </w:p>
        </w:tc>
        <w:tc>
          <w:tcPr>
            <w:tcW w:type="dxa" w:w="1728"/>
          </w:tcPr>
          <w:p>
            <w:pPr>
              <w:jc w:val="right"/>
            </w:pPr>
            <w:r>
              <w:rPr>
                <w:sz w:val="20"/>
              </w:rPr>
              <w:t>93,618</w:t>
            </w:r>
          </w:p>
        </w:tc>
        <w:tc>
          <w:tcPr>
            <w:tcW w:type="dxa" w:w="1728"/>
          </w:tcPr>
          <w:p>
            <w:pPr>
              <w:jc w:val="right"/>
            </w:pPr>
            <w:r>
              <w:rPr>
                <w:sz w:val="20"/>
              </w:rPr>
              <w:t>29,132</w:t>
            </w:r>
          </w:p>
        </w:tc>
      </w:tr>
      <w:tr>
        <w:tc>
          <w:tcPr>
            <w:tcW w:type="dxa" w:w="1728"/>
          </w:tcPr>
          <w:p>
            <w:r>
              <w:rPr>
                <w:sz w:val="20"/>
              </w:rPr>
              <w:t>2032</w:t>
            </w:r>
          </w:p>
        </w:tc>
        <w:tc>
          <w:tcPr>
            <w:tcW w:type="dxa" w:w="1728"/>
          </w:tcPr>
          <w:p>
            <w:pPr>
              <w:jc w:val="right"/>
            </w:pPr>
            <w:r>
              <w:rPr>
                <w:sz w:val="20"/>
              </w:rPr>
              <w:t>87,995</w:t>
            </w:r>
          </w:p>
        </w:tc>
        <w:tc>
          <w:tcPr>
            <w:tcW w:type="dxa" w:w="1728"/>
          </w:tcPr>
          <w:p>
            <w:pPr>
              <w:jc w:val="right"/>
            </w:pPr>
            <w:r>
              <w:rPr>
                <w:sz w:val="20"/>
              </w:rPr>
              <w:t>55,895</w:t>
            </w:r>
          </w:p>
        </w:tc>
        <w:tc>
          <w:tcPr>
            <w:tcW w:type="dxa" w:w="1728"/>
          </w:tcPr>
          <w:p>
            <w:pPr>
              <w:jc w:val="right"/>
            </w:pPr>
            <w:r>
              <w:rPr>
                <w:sz w:val="20"/>
              </w:rPr>
              <w:t>95,490</w:t>
            </w:r>
          </w:p>
        </w:tc>
        <w:tc>
          <w:tcPr>
            <w:tcW w:type="dxa" w:w="1728"/>
          </w:tcPr>
          <w:p>
            <w:pPr>
              <w:jc w:val="right"/>
            </w:pPr>
            <w:r>
              <w:rPr>
                <w:sz w:val="20"/>
              </w:rPr>
              <w:t>32,100</w:t>
            </w:r>
          </w:p>
        </w:tc>
      </w:tr>
      <w:tr>
        <w:tc>
          <w:tcPr>
            <w:tcW w:type="dxa" w:w="1728"/>
          </w:tcPr>
          <w:p>
            <w:r>
              <w:rPr>
                <w:sz w:val="20"/>
              </w:rPr>
              <w:t>2033</w:t>
            </w:r>
          </w:p>
        </w:tc>
        <w:tc>
          <w:tcPr>
            <w:tcW w:type="dxa" w:w="1728"/>
          </w:tcPr>
          <w:p>
            <w:pPr>
              <w:jc w:val="right"/>
            </w:pPr>
            <w:r>
              <w:rPr>
                <w:sz w:val="20"/>
              </w:rPr>
              <w:t>89,655</w:t>
            </w:r>
          </w:p>
        </w:tc>
        <w:tc>
          <w:tcPr>
            <w:tcW w:type="dxa" w:w="1728"/>
          </w:tcPr>
          <w:p>
            <w:pPr>
              <w:jc w:val="right"/>
            </w:pPr>
            <w:r>
              <w:rPr>
                <w:sz w:val="20"/>
              </w:rPr>
              <w:t>54,801</w:t>
            </w:r>
          </w:p>
        </w:tc>
        <w:tc>
          <w:tcPr>
            <w:tcW w:type="dxa" w:w="1728"/>
          </w:tcPr>
          <w:p>
            <w:pPr>
              <w:jc w:val="right"/>
            </w:pPr>
            <w:r>
              <w:rPr>
                <w:sz w:val="20"/>
              </w:rPr>
              <w:t>97,400</w:t>
            </w:r>
          </w:p>
        </w:tc>
        <w:tc>
          <w:tcPr>
            <w:tcW w:type="dxa" w:w="1728"/>
          </w:tcPr>
          <w:p>
            <w:pPr>
              <w:jc w:val="right"/>
            </w:pPr>
            <w:r>
              <w:rPr>
                <w:sz w:val="20"/>
              </w:rPr>
              <w:t>34,854</w:t>
            </w:r>
          </w:p>
        </w:tc>
      </w:tr>
      <w:tr>
        <w:tc>
          <w:tcPr>
            <w:tcW w:type="dxa" w:w="1728"/>
          </w:tcPr>
          <w:p>
            <w:r>
              <w:rPr>
                <w:sz w:val="20"/>
              </w:rPr>
              <w:t>2034</w:t>
            </w:r>
          </w:p>
        </w:tc>
        <w:tc>
          <w:tcPr>
            <w:tcW w:type="dxa" w:w="1728"/>
          </w:tcPr>
          <w:p>
            <w:pPr>
              <w:jc w:val="right"/>
            </w:pPr>
            <w:r>
              <w:rPr>
                <w:sz w:val="20"/>
              </w:rPr>
              <w:t>91,165</w:t>
            </w:r>
          </w:p>
        </w:tc>
        <w:tc>
          <w:tcPr>
            <w:tcW w:type="dxa" w:w="1728"/>
          </w:tcPr>
          <w:p>
            <w:pPr>
              <w:jc w:val="right"/>
            </w:pPr>
            <w:r>
              <w:rPr>
                <w:sz w:val="20"/>
              </w:rPr>
              <w:t>53,760</w:t>
            </w:r>
          </w:p>
        </w:tc>
        <w:tc>
          <w:tcPr>
            <w:tcW w:type="dxa" w:w="1728"/>
          </w:tcPr>
          <w:p>
            <w:pPr>
              <w:jc w:val="right"/>
            </w:pPr>
            <w:r>
              <w:rPr>
                <w:sz w:val="20"/>
              </w:rPr>
              <w:t>99,348</w:t>
            </w:r>
          </w:p>
        </w:tc>
        <w:tc>
          <w:tcPr>
            <w:tcW w:type="dxa" w:w="1728"/>
          </w:tcPr>
          <w:p>
            <w:pPr>
              <w:jc w:val="right"/>
            </w:pPr>
            <w:r>
              <w:rPr>
                <w:sz w:val="20"/>
              </w:rPr>
              <w:t>37,405</w:t>
            </w:r>
          </w:p>
        </w:tc>
      </w:tr>
      <w:tr>
        <w:tc>
          <w:tcPr>
            <w:tcW w:type="dxa" w:w="1728"/>
            <w:shd w:fill="FFF2CC"/>
          </w:tcPr>
          <w:p>
            <w:r>
              <w:rPr>
                <w:b/>
                <w:sz w:val="20"/>
              </w:rPr>
              <w:t>Cumulative (10-year)</w:t>
            </w:r>
          </w:p>
        </w:tc>
        <w:tc>
          <w:tcPr>
            <w:tcW w:type="dxa" w:w="1728"/>
            <w:shd w:fill="FFF2CC"/>
          </w:tcPr>
          <w:p>
            <w:pPr>
              <w:jc w:val="right"/>
            </w:pPr>
            <w:r>
              <w:rPr>
                <w:b/>
                <w:sz w:val="20"/>
              </w:rPr>
              <w:t>841,770</w:t>
            </w:r>
          </w:p>
        </w:tc>
        <w:tc>
          <w:tcPr>
            <w:tcW w:type="dxa" w:w="1728"/>
            <w:shd w:fill="FFF2CC"/>
          </w:tcPr>
          <w:p>
            <w:pPr>
              <w:jc w:val="right"/>
            </w:pPr>
            <w:r>
              <w:rPr>
                <w:b/>
                <w:sz w:val="20"/>
              </w:rPr>
              <w:t>624,555</w:t>
            </w:r>
          </w:p>
        </w:tc>
        <w:tc>
          <w:tcPr>
            <w:tcW w:type="dxa" w:w="1728"/>
            <w:shd w:fill="FFF2CC"/>
          </w:tcPr>
          <w:p>
            <w:pPr>
              <w:jc w:val="right"/>
            </w:pPr>
            <w:r>
              <w:rPr>
                <w:b/>
                <w:sz w:val="20"/>
              </w:rPr>
              <w:t>913,449</w:t>
            </w:r>
          </w:p>
        </w:tc>
        <w:tc>
          <w:tcPr>
            <w:tcW w:type="dxa" w:w="1728"/>
            <w:shd w:fill="FFF2CC"/>
          </w:tcPr>
          <w:p>
            <w:pPr>
              <w:jc w:val="right"/>
            </w:pPr>
            <w:r>
              <w:rPr>
                <w:b/>
                <w:sz w:val="20"/>
              </w:rPr>
              <w:t>217,215</w:t>
            </w:r>
          </w:p>
        </w:tc>
      </w:tr>
    </w:tbl>
    <w:p>
      <w:r>
        <w:rPr>
          <w:i/>
          <w:sz w:val="20"/>
        </w:rPr>
        <w:t xml:space="preserve">Note: </w:t>
      </w:r>
      <w:r>
        <w:rPr>
          <w:sz w:val="20"/>
        </w:rPr>
        <w:t>All values represent estimated incident MDR-TB cases. Status Quo assumes continuation of current programmatic trajectory with damped trend (φ=0.85). Optimistic scenario assumes 5% annual reduction through intensive TPT scale-up (80% coverage) and enhanced active case finding. Pessimistic scenario assumes 2% annual increase due to AMR escalation and private sector fragmentation. Cases averted calculated as Status Quo minus Optimistic. Cumulative figures represent total burden over the 10-year projection period (2025-2035).</w:t>
      </w:r>
    </w:p>
    <w:p>
      <w:r>
        <w:br w:type="page"/>
      </w:r>
    </w:p>
    <w:p>
      <w:pPr>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Figure_1_MDR_Burden_Authentic.png"/>
                    <pic:cNvPicPr/>
                  </pic:nvPicPr>
                  <pic:blipFill>
                    <a:blip r:embed="rId9"/>
                    <a:stretch>
                      <a:fillRect/>
                    </a:stretch>
                  </pic:blipFill>
                  <pic:spPr>
                    <a:xfrm>
                      <a:off x="0" y="0"/>
                      <a:ext cx="5943600" cy="3467100"/>
                    </a:xfrm>
                    <a:prstGeom prst="rect"/>
                  </pic:spPr>
                </pic:pic>
              </a:graphicData>
            </a:graphic>
          </wp:inline>
        </w:drawing>
      </w:r>
    </w:p>
    <w:p>
      <w:pPr>
        <w:jc w:val="center"/>
      </w:pPr>
      <w:r>
        <w:rPr>
          <w:b/>
          <w:sz w:val="22"/>
        </w:rPr>
        <w:t xml:space="preserve">Figure 1. Historical and Projected MDR-TB Burden in India (2017-2034). </w:t>
      </w:r>
      <w:r>
        <w:rPr>
          <w:sz w:val="22"/>
        </w:rPr>
        <w:t>The figure shows verified historical MDR-TB case detection (2017-2024, solid blue line with markers) and Holt-Winters Damped Trend forecast (2025-2034, dashed blue line). The vertical line at 2025 marks the transition from historical data to projections. Shaded area represents 95% bootstrap confidence interval (1,000 iterations). The plateau in recent years (2022-2024) indicates diagnostic saturation, with the model projecting continued stagnation at approximately 84,000 cases annually through 2035 under Status Quo assumptions.</w:t>
      </w:r>
    </w:p>
    <w:p>
      <w:r>
        <w:br w:type="page"/>
      </w:r>
    </w:p>
    <w:p>
      <w:pPr>
        <w:jc w:val="center"/>
      </w:pPr>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Figure_2_Intervention_Scenarios_Authentic.png"/>
                    <pic:cNvPicPr/>
                  </pic:nvPicPr>
                  <pic:blipFill>
                    <a:blip r:embed="rId10"/>
                    <a:stretch>
                      <a:fillRect/>
                    </a:stretch>
                  </pic:blipFill>
                  <pic:spPr>
                    <a:xfrm>
                      <a:off x="0" y="0"/>
                      <a:ext cx="5943600" cy="3467100"/>
                    </a:xfrm>
                    <a:prstGeom prst="rect"/>
                  </pic:spPr>
                </pic:pic>
              </a:graphicData>
            </a:graphic>
          </wp:inline>
        </w:drawing>
      </w:r>
    </w:p>
    <w:p>
      <w:pPr>
        <w:jc w:val="center"/>
      </w:pPr>
      <w:r>
        <w:rPr>
          <w:b/>
          <w:sz w:val="22"/>
        </w:rPr>
        <w:t xml:space="preserve">Figure 2. Three Future Scenarios for India's MDR-TB Epidemic (2025-2035). </w:t>
      </w:r>
      <w:r>
        <w:rPr>
          <w:sz w:val="22"/>
        </w:rPr>
        <w:t>Projected MDR-TB burden under three policy scenarios: Status Quo (gray line, baseline trajectory with damped trend), Optimistic (green line, intensive intervention with 80% TPT coverage and enhanced active case finding), and Pessimistic (red line, AMR escalation and private sector fragmentation). The shaded green area represents cases averted under the Optimistic scenario compared to Status Quo (217,215 cumulative cases over 10 years). By 2030, the policy gap between Optimistic and Status Quo reaches 24,295 cases annually, representing the tangible human cost of programmatic inertia.</w:t>
      </w:r>
    </w:p>
    <w:p>
      <w:r>
        <w:br w:type="page"/>
      </w:r>
    </w:p>
    <w:p>
      <w:pPr>
        <w:jc w:val="center"/>
      </w:pPr>
      <w:r>
        <w:drawing>
          <wp:inline xmlns:a="http://schemas.openxmlformats.org/drawingml/2006/main" xmlns:pic="http://schemas.openxmlformats.org/drawingml/2006/picture">
            <wp:extent cx="5943600" cy="4953000"/>
            <wp:docPr id="3" name="Picture 3"/>
            <wp:cNvGraphicFramePr>
              <a:graphicFrameLocks noChangeAspect="1"/>
            </wp:cNvGraphicFramePr>
            <a:graphic>
              <a:graphicData uri="http://schemas.openxmlformats.org/drawingml/2006/picture">
                <pic:pic>
                  <pic:nvPicPr>
                    <pic:cNvPr id="0" name="Figure_3_State_Burden_Authentic.png"/>
                    <pic:cNvPicPr/>
                  </pic:nvPicPr>
                  <pic:blipFill>
                    <a:blip r:embed="rId11"/>
                    <a:stretch>
                      <a:fillRect/>
                    </a:stretch>
                  </pic:blipFill>
                  <pic:spPr>
                    <a:xfrm>
                      <a:off x="0" y="0"/>
                      <a:ext cx="5943600" cy="4953000"/>
                    </a:xfrm>
                    <a:prstGeom prst="rect"/>
                  </pic:spPr>
                </pic:pic>
              </a:graphicData>
            </a:graphic>
          </wp:inline>
        </w:drawing>
      </w:r>
    </w:p>
    <w:p>
      <w:pPr>
        <w:jc w:val="center"/>
      </w:pPr>
      <w:r>
        <w:rPr>
          <w:b/>
          <w:sz w:val="22"/>
        </w:rPr>
        <w:t xml:space="preserve">Figure 3. Geographic Distribution of Projected MDR-TB Burden by State (2030 Projection). </w:t>
      </w:r>
      <w:r>
        <w:rPr>
          <w:sz w:val="22"/>
        </w:rPr>
        <w:t>Choropleth map showing projected MDR-TB burden across India's 36 states and Union Territories under Status Quo scenario. Color intensity represents burden magnitude (cases per 100,000 population). High-burden states (dark red): Uttar Pradesh (18,500 cases, 22% of national burden), Maharashtra, Gujarat, Madhya Pradesh, Bihar. Medium-burden states (orange/yellow): Rajasthan, West Bengal, Karnataka, Tamil Nadu. Low-burden states (light yellow/white): Kerala, Himachal Pradesh, northeastern states. This 10-fold variation in per-capita burden (0.8 to 8.2 per 100,000) underscores the need for differentiated, state-specific intervention strategies rather than uniform national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