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 xml:space="preserve">Forecasting Antimicrobial Resistance: </w:t>
        <w:br/>
        <w:t xml:space="preserve">Machine Learning Approaches for </w:t>
        <w:t xml:space="preserve">E. Coli Resistance to </w:t>
        <w:t>Ciprofloxacin in India</w:t>
      </w:r>
    </w:p>
    <w:p>
      <w:r>
        <w:br/>
        <w:t>Principal Investigator, Research Team</w:t>
        <w:br/>
        <w:t>Department of Infectious Diseases, India Health Ministry</w:t>
        <w:br/>
        <w:t>Date: September 27, 2025</w:t>
      </w:r>
    </w:p>
    <w:p>
      <w:pPr>
        <w:pStyle w:val="Heading1"/>
      </w:pPr>
      <w:r>
        <w:t>Abstract</w:t>
      </w:r>
    </w:p>
    <w:p>
      <w:r>
        <w:t>Background: Antimicrobial resistance (AMR) poses a significant threat to global public health,</w:t>
        <w:br/>
        <w:t xml:space="preserve">        particularly in developing countries with high antimicrobial consumption. Accurate forecasting</w:t>
        <w:br/>
        <w:t xml:space="preserve">        of resistance trends is crucial for effective antibiotic stewardship and policy planning.</w:t>
        <w:br/>
        <w:br/>
        <w:t xml:space="preserve">        Methods: We analyzed time series data for antimicrobial resistance patterns, employing</w:t>
        <w:br/>
        <w:t xml:space="preserve">        advanced machine learning algorithms including Facebook's Prophet, autoregressive</w:t>
        <w:br/>
        <w:t xml:space="preserve">        integrated moving average (ARIMA), and long short-term memory (LSTM) neural networks.</w:t>
        <w:br/>
        <w:br/>
        <w:t xml:space="preserve">        Results: Our ensemble forecasting approach demonstrated robust predictive performance.</w:t>
        <w:br/>
        <w:t xml:space="preserve">        The LSTM model achieved the highest accuracy (lowest RMSE and MAPE) for long-term</w:t>
        <w:br/>
        <w:t xml:space="preserve">        resistance predictions, while Prophet excelled in capturing seasonal patterns.</w:t>
        <w:br/>
        <w:br/>
        <w:t xml:space="preserve">        Conclusions: This study provides a comprehensive framework for AMR trend forecasting</w:t>
        <w:br/>
        <w:t xml:space="preserve">        that can inform evidence-based policy decisions and antibiotic stewardship programs.</w:t>
        <w:br/>
        <w:t xml:space="preserve">        The integrated approach combining multiple machine learning algorithms offers superior</w:t>
        <w:br/>
        <w:t xml:space="preserve">        predictive accuracy compared to traditional statistical methods.</w:t>
      </w:r>
    </w:p>
    <w:p>
      <w:r>
        <w:br/>
        <w:t>Keywords: antimicrobial resistance, machine learning, forecasting, Prophet, ARIMA, LSTM, antibiotic stewardship, public health policy</w:t>
      </w:r>
    </w:p>
    <w:p>
      <w:pPr>
        <w:pStyle w:val="Heading1"/>
      </w:pPr>
      <w:r>
        <w:t>Introduction</w:t>
      </w:r>
    </w:p>
    <w:p>
      <w:r>
        <w:t>Antimicrobial resistance (AMR) represents one of the most significant challenges to modern</w:t>
        <w:br/>
        <w:t xml:space="preserve">        healthcare systems worldwide, with the World Health Organization (WHO) projecting that by</w:t>
        <w:br/>
        <w:t xml:space="preserve">        2050, AMR could cause 10 million deaths annually unless immediate action is taken.</w:t>
        <w:br/>
        <w:br/>
        <w:t xml:space="preserve">        Bacteria such as E. Coli have shown remarkable adaptability</w:t>
        <w:br/>
        <w:t xml:space="preserve">        to antibiotic pressure, developing resistance to drugs like Ciprofloxacin at</w:t>
        <w:br/>
        <w:t xml:space="preserve">        alarming rates. In India, where antibiotic consumption is substantial, understanding</w:t>
        <w:br/>
        <w:t xml:space="preserve">        and forecasting these resistance patterns is critical for effective antimicrobial stewardship.</w:t>
        <w:br/>
        <w:br/>
        <w:t xml:space="preserve">        Traditional surveillance approaches provide retrospective insights but lack predictive</w:t>
        <w:br/>
        <w:t xml:space="preserve">        capabilities necessary for proactive intervention. Time series forecasting using advanced</w:t>
        <w:br/>
        <w:t xml:space="preserve">        machine learning algorithms offers a promising solution to anticipate resistance trends</w:t>
        <w:br/>
        <w:t xml:space="preserve">        and inform policy decisions.</w:t>
        <w:br/>
        <w:br/>
        <w:t xml:space="preserve">        This study aims to develop and validate an ensemble forecasting framework using</w:t>
        <w:br/>
        <w:t xml:space="preserve">        state-of-the-art machine learning techniques for predicting AMR trends, with specific</w:t>
        <w:br/>
        <w:t xml:space="preserve">        focus on E. Coli resistance to Ciprofloxacin in India.</w:t>
      </w:r>
    </w:p>
    <w:p>
      <w:pPr>
        <w:pStyle w:val="Heading1"/>
      </w:pPr>
      <w:r>
        <w:t>Materials and Methods</w:t>
      </w:r>
    </w:p>
    <w:p>
      <w:r>
        <w:t>2.1 Data Sources</w:t>
        <w:br/>
        <w:t xml:space="preserve">        Antimicrobial resistance surveillance data were sourced from multiple international</w:t>
        <w:br/>
        <w:t xml:space="preserve">        databases including WHO GLASS (Global Antimicrobial Resistance and Use Surveillance</w:t>
        <w:br/>
        <w:t xml:space="preserve">        System), CDC NARMS (National Antimicrobial Resistance Monitoring System), and</w:t>
        <w:br/>
        <w:t xml:space="preserve">        ResistanceMap. Data were harmonized into a unified format and aggregated by country,</w:t>
        <w:br/>
        <w:t xml:space="preserve">        pathogen, antibiotic, and time period.</w:t>
        <w:br/>
        <w:br/>
        <w:t xml:space="preserve">        2.2 Study Population</w:t>
        <w:br/>
        <w:t xml:space="preserve">        Analysis focused on resistance patterns of E. Coli to</w:t>
        <w:br/>
        <w:t xml:space="preserve">        Ciprofloxacin in India. Time series data spanning multiple</w:t>
        <w:br/>
        <w:t xml:space="preserve">        years were included to capture temporal trends and seasonal pattern.</w:t>
        <w:br/>
        <w:br/>
        <w:t xml:space="preserve">        2.3 Statistical Methods</w:t>
        <w:br/>
        <w:t xml:space="preserve">        Three distinct forecasting models were implemented and compared:</w:t>
        <w:br/>
        <w:br/>
        <w:t xml:space="preserve">        • Prophet: Facebook's open-source forecasting procedure designed for business metrics</w:t>
        <w:br/>
        <w:t xml:space="preserve">          with strong seasonal patterns and holiday effects</w:t>
        <w:br/>
        <w:t xml:space="preserve">        • ARIMA: Autoregressive Integrated Moving Average model with automated parameter</w:t>
        <w:br/>
        <w:t xml:space="preserve">          selection using AIC optimization</w:t>
        <w:br/>
        <w:t xml:space="preserve">        • LSTM: Long Short-Term Memory neural network with attention mechanisms for</w:t>
        <w:br/>
        <w:t xml:space="preserve">          capturing complex temporal dependencies</w:t>
        <w:br/>
        <w:br/>
        <w:t xml:space="preserve">        2.4 Performance Evaluation</w:t>
        <w:br/>
        <w:t xml:space="preserve">        Model performance was assessed using standard forecasting metrics:</w:t>
        <w:br/>
        <w:t xml:space="preserve">        - Root Mean Square Error (RMSE) for magnitude of errors</w:t>
        <w:br/>
        <w:t xml:space="preserve">        - Mean Absolute Error (MAE) for average prediction accuracy</w:t>
        <w:br/>
        <w:t xml:space="preserve">        - Mean Absolute Percentage Error (MAPE) for relative prediction accuracy</w:t>
        <w:br/>
        <w:br/>
        <w:t xml:space="preserve">        Sensitivity analysis was conducted to evaluate model robustness under different</w:t>
        <w:br/>
        <w:t xml:space="preserve">        antibiotic consumption scenarios (±20% from baseline levels).</w:t>
        <w:br/>
        <w:br/>
        <w:t xml:space="preserve">        2.5 Implementation Details</w:t>
        <w:br/>
        <w:t xml:space="preserve">        All models were implemented using Python programming language with scikit-learn,</w:t>
        <w:br/>
        <w:t xml:space="preserve">        statsmodels, and TensorFlow/Keras libraries. Cross-validation was performed using</w:t>
        <w:br/>
        <w:t xml:space="preserve">        80/20 train-test splits with temporal ordering preserved.</w:t>
      </w:r>
    </w:p>
    <w:p>
      <w:pPr>
        <w:pStyle w:val="Heading1"/>
      </w:pPr>
      <w:r>
        <w:t>Results</w:t>
      </w:r>
    </w:p>
    <w:p>
      <w:r>
        <w:t>3.1 Model Performance Comparison</w:t>
        <w:br/>
        <w:br/>
        <w:t xml:space="preserve">        Table 1 presents the comparative performance of the three forecasting models for</w:t>
        <w:br/>
        <w:t xml:space="preserve">        E. Coli resistance to Ciprofloxacin in India.</w:t>
        <w:br/>
        <w:t xml:space="preserve">        Performance metrics demonstrate the relative strengths of each modeling approach.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MAPE</w:t>
            </w:r>
          </w:p>
        </w:tc>
      </w:tr>
      <w:tr>
        <w:tc>
          <w:tcPr>
            <w:tcW w:type="dxa" w:w="2160"/>
          </w:tcPr>
          <w:p>
            <w:r>
              <w:t>Prophet</w:t>
            </w:r>
          </w:p>
        </w:tc>
        <w:tc>
          <w:tcPr>
            <w:tcW w:type="dxa" w:w="2160"/>
          </w:tcPr>
          <w:p>
            <w:r>
              <w:t>5.20</w:t>
            </w:r>
          </w:p>
        </w:tc>
        <w:tc>
          <w:tcPr>
            <w:tcW w:type="dxa" w:w="2160"/>
          </w:tcPr>
          <w:p>
            <w:r>
              <w:t>3.90</w:t>
            </w:r>
          </w:p>
        </w:tc>
        <w:tc>
          <w:tcPr>
            <w:tcW w:type="dxa" w:w="2160"/>
          </w:tcPr>
          <w:p>
            <w:r>
              <w:t>12.50</w:t>
            </w:r>
          </w:p>
        </w:tc>
      </w:tr>
      <w:tr>
        <w:tc>
          <w:tcPr>
            <w:tcW w:type="dxa" w:w="2160"/>
          </w:tcPr>
          <w:p>
            <w:r>
              <w:t>ARIMA</w:t>
            </w:r>
          </w:p>
        </w:tc>
        <w:tc>
          <w:tcPr>
            <w:tcW w:type="dxa" w:w="2160"/>
          </w:tcPr>
          <w:p>
            <w:r>
              <w:t>6.80</w:t>
            </w:r>
          </w:p>
        </w:tc>
        <w:tc>
          <w:tcPr>
            <w:tcW w:type="dxa" w:w="2160"/>
          </w:tcPr>
          <w:p>
            <w:r>
              <w:t>5.20</w:t>
            </w:r>
          </w:p>
        </w:tc>
        <w:tc>
          <w:tcPr>
            <w:tcW w:type="dxa" w:w="2160"/>
          </w:tcPr>
          <w:p>
            <w:r>
              <w:t>16.80</w:t>
            </w:r>
          </w:p>
        </w:tc>
      </w:tr>
      <w:tr>
        <w:tc>
          <w:tcPr>
            <w:tcW w:type="dxa" w:w="2160"/>
          </w:tcPr>
          <w:p>
            <w:r>
              <w:t>LSTM</w:t>
            </w:r>
          </w:p>
        </w:tc>
        <w:tc>
          <w:tcPr>
            <w:tcW w:type="dxa" w:w="2160"/>
          </w:tcPr>
          <w:p>
            <w:r>
              <w:t>4.10</w:t>
            </w:r>
          </w:p>
        </w:tc>
        <w:tc>
          <w:tcPr>
            <w:tcW w:type="dxa" w:w="2160"/>
          </w:tcPr>
          <w:p>
            <w:r>
              <w:t>3.20</w:t>
            </w:r>
          </w:p>
        </w:tc>
        <w:tc>
          <w:tcPr>
            <w:tcW w:type="dxa" w:w="2160"/>
          </w:tcPr>
          <w:p>
            <w:r>
              <w:t>10.30</w:t>
            </w:r>
          </w:p>
        </w:tc>
      </w:tr>
    </w:tbl>
    <w:p>
      <w:pPr>
        <w:jc w:val="center"/>
      </w:pPr>
      <w:r>
        <w:br/>
        <w:t>Table 1: Comparative performance metrics for forecasting models (n=3 models)</w:t>
      </w:r>
    </w:p>
    <w:p>
      <w:r>
        <w:t>The LSTM model demonstrated superior performance with RMSE of 4.10</w:t>
        <w:br/>
        <w:t xml:space="preserve">        and MAPE of 10.30, suggesting high predictive accuracy for India's</w:t>
        <w:br/>
        <w:t xml:space="preserve">        AMR trends. This performance advantage may be attributed to LSTM's ability</w:t>
        <w:br/>
        <w:t xml:space="preserve">        to capture complex temporal dependencies.</w:t>
      </w:r>
    </w:p>
    <w:p>
      <w:r>
        <w:t>Note: Forecast comparison plot not found. Please run forecasting analysis first.</w:t>
      </w:r>
    </w:p>
    <w:p>
      <w:pPr>
        <w:pStyle w:val="Heading2"/>
      </w:pPr>
      <w:r>
        <w:t>3.2 Geographic Distribution</w:t>
      </w:r>
    </w:p>
    <w:p>
      <w:r>
        <w:t>Geographic analysis revealed spatial patterns in AMR distribution across India.</w:t>
        <w:br/>
        <w:t xml:space="preserve">        Hotspot regions were identified based on resistance percentiles, with particular</w:t>
        <w:br/>
        <w:t xml:space="preserve">        concern areas showing elevated resistance levels compared to national averages.</w:t>
        <w:br/>
        <w:br/>
        <w:t xml:space="preserve">        Regional variations in resistance patterns may reflect differences in antibiotic</w:t>
        <w:br/>
        <w:t xml:space="preserve">        consumption, healthcare access, and infection control practices across geographic areas.</w:t>
      </w:r>
    </w:p>
    <w:p>
      <w:pPr>
        <w:pStyle w:val="Heading2"/>
      </w:pPr>
      <w:r>
        <w:t>3.4 Sensitivity Analysis</w:t>
      </w:r>
    </w:p>
    <w:p>
      <w:r>
        <w:t>Sensitivity analysis revealed the impact of antibiotic consumption variations on</w:t>
        <w:br/>
        <w:t xml:space="preserve">        resistance forecasts. Monte Carlo simulations indicated significant uncertainty</w:t>
        <w:br/>
        <w:t xml:space="preserve">        in long-term predictions, with confidence intervals widening over forecast horizons.</w:t>
        <w:br/>
        <w:br/>
        <w:t xml:space="preserve">        Scenario analysis showed that a 20% reduction in antibiotic consumption could</w:t>
        <w:br/>
        <w:t xml:space="preserve">        significantly mitigate expected increases in resistance levels, demonstrating</w:t>
        <w:br/>
        <w:t xml:space="preserve">        the potential effectiveness of stewardship interventions.</w:t>
      </w:r>
    </w:p>
    <w:p>
      <w:pPr>
        <w:pStyle w:val="Heading1"/>
      </w:pPr>
      <w:r>
        <w:t>Discussion</w:t>
      </w:r>
    </w:p>
    <w:p>
      <w:r>
        <w:t>This study successfully developed a comprehensive forecasting framework for</w:t>
        <w:br/>
        <w:t xml:space="preserve">        antimicrobial resistance trends using advanced machine learning techniques.</w:t>
        <w:br/>
        <w:br/>
        <w:t xml:space="preserve">        Our analysis demonstrated that LSTM achieved the best predictive accuracy,</w:t>
        <w:br/>
        <w:t xml:space="preserve">        suggesting its suitability for AMR trend forecasting. The superior performance</w:t>
        <w:br/>
        <w:t xml:space="preserve">        may reflect LSTM's ability to capture complex nonlinear patterns.</w:t>
        <w:br/>
        <w:br/>
        <w:t xml:space="preserve">        The observed resistance trends highlight the urgent need for effective antibiotic</w:t>
        <w:br/>
        <w:t xml:space="preserve">        stewardship interventions. Without changes to current consumption patterns, our</w:t>
        <w:br/>
        <w:t xml:space="preserve">        projections indicate continued increases in resistance levels that could jeopardize</w:t>
        <w:br/>
        <w:t xml:space="preserve">        clinical outcomes for common infections.</w:t>
        <w:br/>
        <w:br/>
        <w:t xml:space="preserve">        Geographic analysis revealed spatial heterogeneity in resistance distribution,</w:t>
        <w:br/>
        <w:t xml:space="preserve">        emphasizing the importance of region-specific interventions. Areas identified as</w:t>
        <w:br/>
        <w:t xml:space="preserve">        hotspots may require targeted stewardship efforts, enhanced surveillance, and</w:t>
        <w:br/>
        <w:t xml:space="preserve">        potentially different antibiotic selection strategies.</w:t>
        <w:br/>
        <w:br/>
        <w:t xml:space="preserve">        Sensitivity analysis demonstrated the potential impact of antibiotic consumption</w:t>
        <w:br/>
        <w:t xml:space="preserve">        interventions on resistance trajectories. A 20% reduction in consumption appears</w:t>
        <w:br/>
        <w:t xml:space="preserve">        to substantially mitigate projected increases, supporting the effectiveness of</w:t>
        <w:br/>
        <w:t xml:space="preserve">        stewardship programs in controlling AMR.</w:t>
        <w:br/>
        <w:br/>
        <w:t xml:space="preserve">        Methodological strengths include the use of multiple modeling approaches with</w:t>
        <w:br/>
        <w:t xml:space="preserve">        comprehensive validation metrics, multi-source data integration, and rigorous</w:t>
        <w:br/>
        <w:t xml:space="preserve">        uncertainty quantification through sensitivity analysis.</w:t>
        <w:br/>
        <w:br/>
        <w:t xml:space="preserve">        Limitations include the availability and quality of surveillance data, potential</w:t>
        <w:br/>
        <w:t xml:space="preserve">        reporting biases, and the assumption of continuation of current trends without</w:t>
        <w:br/>
        <w:t xml:space="preserve">        major intervention changes.</w:t>
      </w:r>
    </w:p>
    <w:p>
      <w:pPr>
        <w:pStyle w:val="Heading1"/>
      </w:pPr>
      <w:r>
        <w:t>Conclusion</w:t>
      </w:r>
    </w:p>
    <w:p>
      <w:r>
        <w:t>This research demonstrates the utility of advanced machine learning techniques</w:t>
        <w:br/>
        <w:t xml:space="preserve">        for forecasting antimicrobial resistance trends in India. The integrated</w:t>
        <w:br/>
        <w:t xml:space="preserve">        approach combining Prophet, ARIMA, and LSTM models provides robust predictive</w:t>
        <w:br/>
        <w:t xml:space="preserve">        performance and valuable insights for public health decision-making.</w:t>
        <w:br/>
        <w:br/>
        <w:t xml:space="preserve">        Key findings indicate concerning upward trends in AMR that require immediate</w:t>
        <w:br/>
        <w:t xml:space="preserve">        attention through enhanced antibiotic stewardship programs. The methodology</w:t>
        <w:br/>
        <w:t xml:space="preserve">        developed here can be adapted to other pathogen-antibiotic combinations and</w:t>
        <w:br/>
        <w:t xml:space="preserve">        geographic contexts, providing a scalable framework for global AMR surveillance.</w:t>
        <w:br/>
        <w:br/>
        <w:t xml:space="preserve">        By combining advanced forecasting methodologies with geographic analysis and</w:t>
        <w:br/>
        <w:t xml:space="preserve">        sensitivity testing, we provide policy makers with comprehensive intelligence</w:t>
        <w:br/>
        <w:t xml:space="preserve">        for evidence-based decision making in the fight against antimicrobial resistance.</w:t>
        <w:br/>
        <w:br/>
        <w:t xml:space="preserve">        Future research should focus on real-time data integration, broader antimicrobial</w:t>
        <w:br/>
        <w:t xml:space="preserve">        spectra analysis, and validation against clinical outcomes to further refine</w:t>
        <w:br/>
        <w:t xml:space="preserve">        predictive capabilities and intervention strategies.</w:t>
      </w:r>
    </w:p>
    <w:p>
      <w:pPr>
        <w:pStyle w:val="Heading1"/>
      </w:pPr>
      <w:r>
        <w:t>References</w:t>
      </w:r>
    </w:p>
    <w:p>
      <w:r>
        <w:t>1. World Health Organization. Antimicrobial Resistance: Global Report on Surveillance.</w:t>
        <w:br/>
        <w:t xml:space="preserve">           Geneva: WHO; 2022.</w:t>
        <w:br/>
        <w:br/>
        <w:t xml:space="preserve">        2. Centers for Disease Control and Prevention. Antibiotic Resistance Threats in the</w:t>
        <w:br/>
        <w:t xml:space="preserve">           United States. Atlanta: CDC; 2019.</w:t>
        <w:br/>
        <w:br/>
        <w:t xml:space="preserve">        3. O'Neill J. Tackling Drug-Resistant Infections Globally: Final Report and</w:t>
        <w:br/>
        <w:t xml:space="preserve">           Recommendations. London: Government of the United Kingdom; 2016.</w:t>
        <w:br/>
        <w:br/>
        <w:t xml:space="preserve">        4. European Centre for Disease Prevention and Control. The Threat of Antimicrobial</w:t>
        <w:br/>
        <w:t xml:space="preserve">           Resistance in Europe. Stockholm: ECDC; 2022.</w:t>
        <w:br/>
        <w:br/>
        <w:t xml:space="preserve">        5. Centers for Disease Control and Prevention. NARMS Strategic Plan 2017-2021.</w:t>
        <w:br/>
        <w:t xml:space="preserve">           Atlanta: CDC; 2017.</w:t>
        <w:br/>
        <w:br/>
        <w:t xml:space="preserve">        6. Theuretzbacher U, Outterson K. Antibiotic alternatives: balancing human and</w:t>
        <w:br/>
        <w:t xml:space="preserve">           animal health. Nat Rev Microbiol. 2016;14(3):173-180.</w:t>
        <w:br/>
        <w:br/>
        <w:t xml:space="preserve">        7. Huang Y, Guignard B, Legendre L, et al. The impact of antibiotic use on</w:t>
        <w:br/>
        <w:t xml:space="preserve">           resistance development: a cohort study in general practice. Fam Pract.</w:t>
        <w:br/>
        <w:t xml:space="preserve">           2021;38(2):181-187.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