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5.png" ContentType="image/png"/>
  <Override PartName="/word/media/rId24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7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Notification Forecast (2017–2030). The ensemble model projects a rise to ~3.00 million cases by 2030, deviating from the elimination trajectory. The blue shading represents the 95% uncertainty interval.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Figure 1: National TB Forecast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A_Revis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National TB Forecast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Policy Sensitivity Analysis. Comparison of three intervention scenarios against the Status Quo baseline. The Combination Strategy (Red line) demonstrates a potential 47% reduction in incidence by 2030.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2: Policy Scenario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analysis_results/policy_scenario_analysi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Policy Scenarios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Geographic Distribution of DR-TB Burden (2030). (A) Absolute volume of projected cases, highlighting the immense burden in Uttar Pradesh. (B) Intensity of DR-TB as a percentage of total notification, showing variegated risk across states.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3: Geographic Hotspot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Geographic Hotspots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Sources of Drug Resistance (2030 Forecast). The chart illustrates the</w:t>
      </w:r>
      <w:r>
        <w:t xml:space="preserve"> </w:t>
      </w:r>
      <w:r>
        <w:t xml:space="preserve">“New Case Paradox,”</w:t>
      </w:r>
      <w:r>
        <w:t xml:space="preserve"> </w:t>
      </w:r>
      <w:r>
        <w:t xml:space="preserve">where 67% of the projected DR-TB burden originates from new, treatment-naïve patients (Primary Resistance).</w:t>
      </w:r>
    </w:p>
    <w:p>
      <w:pPr>
        <w:pStyle w:val="CaptionedFigure"/>
      </w:pPr>
      <w:r>
        <w:drawing>
          <wp:inline>
            <wp:extent cx="3733800" cy="2800349"/>
            <wp:effectExtent b="0" l="0" r="0" t="0"/>
            <wp:docPr descr="Figure 4: DR-TB Source Distribution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DRTB_Source_Pi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DR-TB Source Distribution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Rapid Meta-Analysis of Primary Resistance. Forest plot synthesizing recent prevalence studies (2019-2024) to validate the baseline primary resistance rate of ~3.6%.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5: Meta-Analysis Evidence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Meta-Analysis Evidence</w:t>
      </w:r>
    </w:p>
    <w:p>
      <w:pPr>
        <w:pStyle w:val="BodyText"/>
      </w:pPr>
      <w:r>
        <w:rPr>
          <w:b/>
          <w:bCs/>
        </w:rPr>
        <w:t xml:space="preserve">Figure 6: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6: Demographics" title="" id="25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Demographics</w:t>
      </w:r>
    </w:p>
    <w:p>
      <w:r>
        <w:pict>
          <v:rect style="width:0;height:1.5pt" o:hralign="center" o:hrstd="t" o:hr="t"/>
        </w:pict>
      </w:r>
    </w:p>
    <w:bookmarkEnd w:id="27"/>
    <w:bookmarkStart w:id="28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Haryana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West Bengal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Andhra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6,952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Projections based on Status Quo Scenario.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2,403,977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2,308,780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2,524,176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2,424,219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2,296,004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2,195,517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2,020,483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2,474,968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2,282,832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2,004,724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1,767,825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2,510,490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2,269,284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1,830,147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1,546,453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2025-12-14T15:53:52Z</dcterms:created>
  <dcterms:modified xsi:type="dcterms:W3CDTF">2025-12-14T15:53:52Z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