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  <Override PartName="/word/media/rId15.png" ContentType="image/png"/>
  <Override PartName="/word/media/rId24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gures-and-tables"/>
    <w:p>
      <w:pPr>
        <w:pStyle w:val="Heading1"/>
      </w:pPr>
      <w:r>
        <w:t xml:space="preserve">Figures and Tables</w:t>
      </w:r>
    </w:p>
    <w:p>
      <w:pPr>
        <w:pStyle w:val="FirstParagraph"/>
      </w:pPr>
      <w:r>
        <w:rPr>
          <w:b/>
          <w:bCs/>
        </w:rPr>
        <w:t xml:space="preserve">Manuscript Title:</w:t>
      </w:r>
      <w:r>
        <w:t xml:space="preserve"> </w:t>
      </w:r>
      <w:r>
        <w:t xml:space="preserve">The Looming Crisis of Primary Drug Resistance: A Multi-Model Forecasting, Meta-Analytical, and Policy Scenario Assessment of Tuberculosis in India (2025–2030)</w:t>
      </w:r>
    </w:p>
    <w:p>
      <w:r>
        <w:pict>
          <v:rect style="width:0;height:1.5pt" o:hralign="center" o:hrstd="t" o:hr="t"/>
        </w:pict>
      </w:r>
    </w:p>
    <w:bookmarkStart w:id="27" w:name="list-of-figures"/>
    <w:p>
      <w:pPr>
        <w:pStyle w:val="Heading3"/>
      </w:pPr>
      <w:r>
        <w:rPr>
          <w:b/>
          <w:bCs/>
        </w:rPr>
        <w:t xml:space="preserve">List of Figures</w:t>
      </w:r>
    </w:p>
    <w:p>
      <w:pPr>
        <w:pStyle w:val="FirstParagraph"/>
      </w:pPr>
      <w:r>
        <w:rPr>
          <w:b/>
          <w:bCs/>
        </w:rPr>
        <w:t xml:space="preserve">Figure 1:</w:t>
      </w:r>
      <w:r>
        <w:t xml:space="preserve"> </w:t>
      </w:r>
      <w:r>
        <w:t xml:space="preserve">National TB Notification Forecast (2017–2030). The ensemble model projects a rise to ~3.00 million cases by 2030, deviating from the elimination trajectory. The blue shading represents the 95% uncertainty interval.</w:t>
      </w:r>
    </w:p>
    <w:p>
      <w:pPr>
        <w:pStyle w:val="CaptionedFigure"/>
      </w:pPr>
      <w:r>
        <w:drawing>
          <wp:inline>
            <wp:extent cx="4800600" cy="2400300"/>
            <wp:effectExtent b="0" l="0" r="0" t="0"/>
            <wp:docPr descr="Figure 1: National TB Forecast" title="" id="10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1A_Revise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National TB Forecast</w:t>
      </w:r>
    </w:p>
    <w:p>
      <w:pPr>
        <w:pStyle w:val="BodyText"/>
      </w:pPr>
      <w:r>
        <w:rPr>
          <w:b/>
          <w:bCs/>
        </w:rPr>
        <w:t xml:space="preserve">Figure 2:</w:t>
      </w:r>
      <w:r>
        <w:t xml:space="preserve"> </w:t>
      </w:r>
      <w:r>
        <w:t xml:space="preserve">Policy Sensitivity Analysis. Comparison of three intervention scenarios against the Status Quo baseline. The Combination Strategy (Red line) demonstrates a potential 47% reduction in incidence by 2030.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Figure 2: Policy Scenarios" title="" id="13" name="Picture"/>
            <a:graphic>
              <a:graphicData uri="http://schemas.openxmlformats.org/drawingml/2006/picture">
                <pic:pic>
                  <pic:nvPicPr>
                    <pic:cNvPr descr="d:/research-automation/tb_amr_project/analysis_results/policy_scenario_analysi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Policy Scenarios</w:t>
      </w:r>
    </w:p>
    <w:p>
      <w:pPr>
        <w:pStyle w:val="BodyText"/>
      </w:pPr>
      <w:r>
        <w:rPr>
          <w:b/>
          <w:bCs/>
        </w:rPr>
        <w:t xml:space="preserve">Figure 3:</w:t>
      </w:r>
      <w:r>
        <w:t xml:space="preserve"> </w:t>
      </w:r>
      <w:r>
        <w:t xml:space="preserve">Geographic Distribution of DR-TB Burden (2030). (A) Absolute volume of projected cases, highlighting the immense burden in Uttar Pradesh. (B) Intensity of DR-TB as a percentage of total notification, using a gradient scale to differentiate high-risk zones like Maharashtra from high-volume zones.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Figure 3: Geographic Hotspots" title="" id="16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2_Chloropleth_Revise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Geographic Hotspots</w:t>
      </w:r>
    </w:p>
    <w:p>
      <w:pPr>
        <w:pStyle w:val="BodyText"/>
      </w:pPr>
      <w:r>
        <w:rPr>
          <w:b/>
          <w:bCs/>
        </w:rPr>
        <w:t xml:space="preserve">Figure 4:</w:t>
      </w:r>
      <w:r>
        <w:t xml:space="preserve"> </w:t>
      </w:r>
      <w:r>
        <w:t xml:space="preserve">Dynamics of the Drug-Resistant TB Epidemic (2025–2030).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Stacked trend showing the widening dominance of Primary Resistance (New Cases) over Acquired Resistance.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Diagnostic Gap in 2030: Comparing</w:t>
      </w:r>
      <w:r>
        <w:t xml:space="preserve"> </w:t>
      </w:r>
      <w:r>
        <w:t xml:space="preserve">“Risk-Based Screening”</w:t>
      </w:r>
      <w:r>
        <w:t xml:space="preserve"> </w:t>
      </w:r>
      <w:r>
        <w:t xml:space="preserve">(which misses ~85,000 primary cases) vs. </w:t>
      </w:r>
      <w:r>
        <w:t xml:space="preserve">“Universal DST”</w:t>
      </w:r>
      <w:r>
        <w:t xml:space="preserve">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The Cost of Inaction: Projected cumulative poor outcomes (deaths/failures) under current regimens vs. universal BPaL/M implementation, highlighting ~300,000 potential lives saved/failures averted.</w:t>
      </w:r>
    </w:p>
    <w:p>
      <w:pPr>
        <w:pStyle w:val="CaptionedFigure"/>
      </w:pPr>
      <w:r>
        <w:drawing>
          <wp:inline>
            <wp:extent cx="5334000" cy="1777999"/>
            <wp:effectExtent b="0" l="0" r="0" t="0"/>
            <wp:docPr descr="Figure 4: DR-TB Dynamics Panel" title="" id="19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4_Multipanel_DRTB_Dynamic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DR-TB Dynamics Panel</w:t>
      </w:r>
    </w:p>
    <w:p>
      <w:pPr>
        <w:pStyle w:val="BodyText"/>
      </w:pPr>
      <w:r>
        <w:rPr>
          <w:b/>
          <w:bCs/>
        </w:rPr>
        <w:t xml:space="preserve">Figure 5:</w:t>
      </w:r>
      <w:r>
        <w:t xml:space="preserve"> </w:t>
      </w:r>
      <w:r>
        <w:t xml:space="preserve">Rapid Meta-Analysis of Primary Resistance. Forest plot synthesizing recent prevalence studies (2019-2024) to validate the baseline primary resistance rate of ~3.6%.</w:t>
      </w:r>
    </w:p>
    <w:p>
      <w:pPr>
        <w:pStyle w:val="CaptionedFigure"/>
      </w:pPr>
      <w:r>
        <w:drawing>
          <wp:inline>
            <wp:extent cx="4800600" cy="2880360"/>
            <wp:effectExtent b="0" l="0" r="0" t="0"/>
            <wp:docPr descr="Figure 5: Meta-Analysis Evidence" title="" id="22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4_Rapid_Meta_Analysi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Meta-Analysis Evidence</w:t>
      </w:r>
    </w:p>
    <w:p>
      <w:pPr>
        <w:pStyle w:val="BodyText"/>
      </w:pPr>
      <w:r>
        <w:rPr>
          <w:b/>
          <w:bCs/>
        </w:rPr>
        <w:t xml:space="preserve">Figure 6:</w:t>
      </w:r>
      <w:r>
        <w:t xml:space="preserve"> </w:t>
      </w:r>
      <w:r>
        <w:t xml:space="preserve">Demographic Profile of TB in High-Burden States. Heatmap showing the concentration of cases in the economically productive 15-45 age groups.</w:t>
      </w:r>
    </w:p>
    <w:p>
      <w:pPr>
        <w:pStyle w:val="CaptionedFigure"/>
      </w:pPr>
      <w:r>
        <w:drawing>
          <wp:inline>
            <wp:extent cx="4800600" cy="3200400"/>
            <wp:effectExtent b="0" l="0" r="0" t="0"/>
            <wp:docPr descr="Figure 6: Demographics" title="" id="25" name="Picture"/>
            <a:graphic>
              <a:graphicData uri="http://schemas.openxmlformats.org/drawingml/2006/picture">
                <pic:pic>
                  <pic:nvPicPr>
                    <pic:cNvPr descr="d:/research-automation/tb_amr_project/manuscript_assets/Figure_3_Demographic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Demographics</w:t>
      </w:r>
    </w:p>
    <w:p>
      <w:r>
        <w:pict>
          <v:rect style="width:0;height:1.5pt" o:hralign="center" o:hrstd="t" o:hr="t"/>
        </w:pict>
      </w:r>
    </w:p>
    <w:bookmarkEnd w:id="27"/>
    <w:bookmarkStart w:id="28" w:name="list-of-tables"/>
    <w:p>
      <w:pPr>
        <w:pStyle w:val="Heading3"/>
      </w:pPr>
      <w:r>
        <w:rPr>
          <w:b/>
          <w:bCs/>
        </w:rPr>
        <w:t xml:space="preserve">List of Tables</w:t>
      </w:r>
    </w:p>
    <w:p>
      <w:pPr>
        <w:pStyle w:val="FirstParagraph"/>
      </w:pPr>
      <w:r>
        <w:rPr>
          <w:b/>
          <w:bCs/>
        </w:rPr>
        <w:t xml:space="preserve">Table 1: Projected Top 10 High-Burden States for Drug-Resistant TB in 2030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 (2030)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DR-TB (2030)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Uttar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670,634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877,401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283,127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Maharashtra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Madhya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180,892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Tamil 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103,144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Haryana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West Bengal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Andhra Pradesh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Gujarat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135,087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6,952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Projections based on Status Quo Scenario.</w:t>
      </w:r>
    </w:p>
    <w:p>
      <w:pPr>
        <w:pStyle w:val="BodyText"/>
      </w:pPr>
      <w:r>
        <w:rPr>
          <w:b/>
          <w:bCs/>
        </w:rPr>
        <w:t xml:space="preserve">Table 2: Comparative Impact of Policy Interventions on 2030 TB Burden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Prevention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2,368,508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2,321,138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2,486,933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2,437,195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2,403,977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2,308,780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2,524,176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2,424,219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2,439,464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2,296,004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2,195,517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2,020,483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2,474,968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2,282,832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2,004,724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1,767,825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2,510,490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2,269,284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1,830,147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1,546,453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2,546,029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2,255,380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1,670,450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1,352,541</w:t>
            </w:r>
          </w:p>
        </w:tc>
      </w:tr>
    </w:tbl>
    <w:p>
      <w:pPr>
        <w:pStyle w:val="BodyText"/>
      </w:pPr>
      <w:r>
        <w:rPr>
          <w:i/>
          <w:iCs/>
        </w:rPr>
        <w:t xml:space="preserve">Values represent estimated total annual notifications.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4" Target="media/rId24.png" /><Relationship Type="http://schemas.openxmlformats.org/officeDocument/2006/relationships/image" Id="rId18" Target="media/rId18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2025-12-14T16:00:07Z</dcterms:created>
  <dcterms:modified xsi:type="dcterms:W3CDTF">2025-12-14T16:00:07Z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