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igures-and-tables"/>
    <w:p>
      <w:pPr>
        <w:pStyle w:val="Heading1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r>
        <w:pict>
          <v:rect style="width:0;height:1.5pt" o:hralign="center" o:hrstd="t" o:hr="t"/>
        </w:pict>
      </w:r>
    </w:p>
    <w:bookmarkStart w:id="24" w:name="list-of-figures"/>
    <w:p>
      <w:pPr>
        <w:pStyle w:val="Heading3"/>
      </w:pPr>
      <w:r>
        <w:rPr>
          <w:b/>
          <w:bCs/>
        </w:rP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National TB Forecast and Policy Analysis.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Ensemble forecast projecting a rise in notification to ~3.00 million by 2030 (Blue shading: 95% Uncertainty).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Comparative impact of three intervention scenarios, showing the</w:t>
      </w:r>
      <w:r>
        <w:t xml:space="preserve"> </w:t>
      </w:r>
      <w:r>
        <w:t xml:space="preserve">“Combination Strategy”</w:t>
      </w:r>
      <w:r>
        <w:t xml:space="preserve"> </w:t>
      </w:r>
      <w:r>
        <w:t xml:space="preserve">(Red) achieving a significant decline.</w:t>
      </w:r>
    </w:p>
    <w:p>
      <w:pPr>
        <w:pStyle w:val="CaptionedFigure"/>
      </w:pPr>
      <w:r>
        <w:drawing>
          <wp:inline>
            <wp:extent cx="5334000" cy="2333624"/>
            <wp:effectExtent b="0" l="0" r="0" t="0"/>
            <wp:docPr descr="Figure 1: Forecast and Scenarios" title="" id="10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1_Combined_Forecast_Scenar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Forecast and Scenarios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Geographic Distribution of DR-TB Burden (2030).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Absolute volume of projected cases.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Intensity of resistance (% of Total), highlighting hotspots like Maharashtra despite lower total volume compared to UP.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Figure 2: Geographic Hotspots" title="" id="13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2_Chloropleth_Revis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Geographic Hotspots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Dynamics of the Drug-Resistant TB Epidemic (2025–2030).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Trend showing dominance of Primary Resistance (New Cases).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Diagnostic Gap in 2030, visualizing ~85,000 missed cases under risk-based screening.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 Cost of Inaction: Projected deaths/failures averted by universal regimen optimization.</w:t>
      </w:r>
    </w:p>
    <w:p>
      <w:pPr>
        <w:pStyle w:val="CaptionedFigure"/>
      </w:pPr>
      <w:r>
        <w:drawing>
          <wp:inline>
            <wp:extent cx="5334000" cy="1777999"/>
            <wp:effectExtent b="0" l="0" r="0" t="0"/>
            <wp:docPr descr="Figure 3: DR-TB Dynamics" title="" id="16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RTB_Dynamic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DR-TB Dynamics</w:t>
      </w:r>
    </w:p>
    <w:p>
      <w:pPr>
        <w:pStyle w:val="BodyText"/>
      </w:pPr>
      <w:r>
        <w:rPr>
          <w:b/>
          <w:bCs/>
        </w:rPr>
        <w:t xml:space="preserve">Figure 4:</w:t>
      </w:r>
      <w:r>
        <w:t xml:space="preserve"> </w:t>
      </w:r>
      <w:r>
        <w:t xml:space="preserve">Rapid Meta-Analysis Evidence. Forest plot synthesizing recent prevalence studies (2019-2024) to validate the baseline primary resistance rate of ~3.6% used in the forecast model.</w:t>
      </w:r>
    </w:p>
    <w:p>
      <w:pPr>
        <w:pStyle w:val="CaptionedFigure"/>
      </w:pPr>
      <w:r>
        <w:drawing>
          <wp:inline>
            <wp:extent cx="4800600" cy="2880360"/>
            <wp:effectExtent b="0" l="0" r="0" t="0"/>
            <wp:docPr descr="Figure 4: Meta-Analysis Evidence" title="" id="19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4_Rapid_Meta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Meta-Analysis Evidence</w:t>
      </w:r>
    </w:p>
    <w:p>
      <w:pPr>
        <w:pStyle w:val="BodyText"/>
      </w:pPr>
      <w:r>
        <w:rPr>
          <w:b/>
          <w:bCs/>
        </w:rPr>
        <w:t xml:space="preserve">Figure 5:</w:t>
      </w:r>
      <w:r>
        <w:t xml:space="preserve"> </w:t>
      </w:r>
      <w:r>
        <w:t xml:space="preserve">Demographic Profile of TB in High-Burden States. Heatmap showing the concentration of cases in the economically productive 15-45 age groups.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5: Demographics" title="" id="22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emographic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Demographics</w:t>
      </w:r>
    </w:p>
    <w:p>
      <w:r>
        <w:pict>
          <v:rect style="width:0;height:1.5pt" o:hralign="center" o:hrstd="t" o:hr="t"/>
        </w:pict>
      </w:r>
    </w:p>
    <w:bookmarkEnd w:id="24"/>
    <w:bookmarkStart w:id="25" w:name="list-of-tables"/>
    <w:p>
      <w:pPr>
        <w:pStyle w:val="Heading3"/>
      </w:pPr>
      <w:r>
        <w:rPr>
          <w:b/>
          <w:bCs/>
        </w:rP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Projected Top 10 High-Burden States for Drug-Resistant TB in 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670,634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9,902</w:t>
            </w:r>
          </w:p>
        </w:tc>
      </w:tr>
    </w:tbl>
    <w:p>
      <w:pPr>
        <w:pStyle w:val="BodyText"/>
      </w:pPr>
      <w:r>
        <w:rPr>
          <w:i/>
          <w:iCs/>
        </w:rPr>
        <w:t xml:space="preserve">(Full table data in Supplementary Materials)</w:t>
      </w:r>
    </w:p>
    <w:p>
      <w:pPr>
        <w:pStyle w:val="BodyText"/>
      </w:pPr>
      <w:r>
        <w:rPr>
          <w:b/>
          <w:bCs/>
        </w:rPr>
        <w:t xml:space="preserve">Table 2: Comparative Impact of Policy Interventions on 2030 TB Burden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2,368,508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2,321,138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2,486,933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2,437,195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2,546,029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2,255,380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1,352,541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Values represent estimated total annual notifications.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2025-12-14T16:11:33Z</dcterms:created>
  <dcterms:modified xsi:type="dcterms:W3CDTF">2025-12-14T16:11:33Z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