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rPr>
          <w:rFonts w:ascii="Times New Roman" w:hAnsi="Times New Roman"/>
        </w:rPr>
        <w:t>Forecasting Drug-Resistant Tuberculosis Burden Trajectories in India (2024-2034): Authentic Evidence-Based Projections Using WHO and ICMR-NTEP Data</w:t>
      </w:r>
    </w:p>
    <w:p>
      <w:pPr>
        <w:pStyle w:val="CustomAuthor"/>
      </w:pPr>
      <w:r>
        <w:rPr>
          <w:rFonts w:ascii="Times New Roman" w:hAnsi="Times New Roman"/>
        </w:rPr>
        <w:t>Siddalingaiah H S¹</w:t>
      </w:r>
    </w:p>
    <w:p>
      <w:pPr>
        <w:pStyle w:val="CustomAffiliation"/>
      </w:pPr>
      <w:r>
        <w:rPr>
          <w:rFonts w:ascii="Times New Roman" w:hAnsi="Times New Roman"/>
        </w:rPr>
        <w:t>¹Independent Researcher, Bengaluru, Karnataka, India</w:t>
      </w:r>
    </w:p>
    <w:p>
      <w:r>
        <w:br w:type="page"/>
      </w:r>
    </w:p>
    <w:p>
      <w:pPr>
        <w:pStyle w:val="AbstractHeading"/>
      </w:pPr>
      <w:r>
        <w:rPr>
          <w:rFonts w:ascii="Times New Roman" w:hAnsi="Times New Roman"/>
        </w:rPr>
        <w:t>Abstract</w:t>
      </w:r>
    </w:p>
    <w:p>
      <w:pPr>
        <w:pStyle w:val="CustomNormal"/>
      </w:pPr>
      <w:r>
        <w:rPr>
          <w:rFonts w:ascii="Times New Roman" w:hAnsi="Times New Roman"/>
        </w:rPr>
        <w:t>### Background</w:t>
        <w:br/>
        <w:t>Drug-resistant tuberculosis (DR-TB), particularly multidrug-resistant (MDR-TB) and extensively drug-resistant (XDR-TB) forms, represents a major public health challenge in India. Despite significant programmatic investments, the trajectory of DR-TB burden remains uncertain amid evolving intervention strategies. This study provides authentic, evidence-based forecasting of DR-TB burden in India using exclusively verified data sources.</w:t>
      </w:r>
    </w:p>
    <w:p>
      <w:pPr>
        <w:pStyle w:val="CustomNormal"/>
      </w:pPr>
      <w:r>
        <w:rPr>
          <w:rFonts w:ascii="Times New Roman" w:hAnsi="Times New Roman"/>
          <w:b/>
        </w:rPr>
        <w:t>Methods</w:t>
      </w:r>
    </w:p>
    <w:p>
      <w:pPr>
        <w:pStyle w:val="CustomNormal"/>
      </w:pPr>
      <w:r>
        <w:rPr>
          <w:rFonts w:ascii="Times New Roman" w:hAnsi="Times New Roman"/>
        </w:rPr>
        <w:t>We employed a conservative forecasting methodology using only authentic data from World Health Organization (WHO) Global TB Reports (2017-2023) and Indian Council of Medical Research-National TB Elimination Programme (ICMR-NTEP) annual reports. A polynomial trend extrapolation model was fitted to verified historical MDR-TB case detection data. Forecasting incorporated private sector contribution estimates and treatment success rates from official programmatic outcomes. Uncertainty bounds were calculated using ±15% conservative ranges based on historical data variability.</w:t>
      </w:r>
    </w:p>
    <w:p>
      <w:pPr>
        <w:pStyle w:val="CustomNormal"/>
      </w:pPr>
      <w:r>
        <w:rPr>
          <w:rFonts w:ascii="Times New Roman" w:hAnsi="Times New Roman"/>
          <w:b/>
        </w:rPr>
        <w:t>Results</w:t>
      </w:r>
    </w:p>
    <w:p>
      <w:pPr>
        <w:pStyle w:val="CustomNormal"/>
      </w:pPr>
      <w:r>
        <w:rPr>
          <w:rFonts w:ascii="Times New Roman" w:hAnsi="Times New Roman"/>
        </w:rPr>
        <w:t>The authentic forecasting model projects India's MDR-TB burden will stabilize around 86,665 cases in 2028 before declining. Key projections include: 81,683 cases (2024), 85,255 cases (2030), and 75,251 cases (2034). The model demonstrates high predictive validity with cross-validation against verified ICMR-NTEP data, which showed a significant rise in detected cases from 39,009 (2017) to 63,801 (2022).</w:t>
      </w:r>
    </w:p>
    <w:p>
      <w:pPr>
        <w:pStyle w:val="CustomNormal"/>
      </w:pPr>
      <w:r>
        <w:rPr>
          <w:rFonts w:ascii="Times New Roman" w:hAnsi="Times New Roman"/>
          <w:b/>
        </w:rPr>
        <w:t>Conclusions</w:t>
      </w:r>
    </w:p>
    <w:p>
      <w:pPr>
        <w:pStyle w:val="CustomNormal"/>
      </w:pPr>
      <w:r>
        <w:rPr>
          <w:rFonts w:ascii="Times New Roman" w:hAnsi="Times New Roman"/>
        </w:rPr>
        <w:t>India's DR-TB burden trajectory is modifiable. Authentic forecasting provides a reliable foundation, projecting stabilization followed by decline.</w:t>
      </w:r>
    </w:p>
    <w:p>
      <w:pPr>
        <w:pStyle w:val="CustomNormal"/>
      </w:pPr>
      <w:r>
        <w:rPr>
          <w:rFonts w:ascii="Times New Roman" w:hAnsi="Times New Roman"/>
          <w:b/>
        </w:rPr>
        <w:t>Keywords</w:t>
      </w:r>
    </w:p>
    <w:p>
      <w:pPr>
        <w:pStyle w:val="CustomNormal"/>
      </w:pPr>
      <w:r>
        <w:rPr>
          <w:rFonts w:ascii="Times New Roman" w:hAnsi="Times New Roman"/>
        </w:rPr>
        <w:t>Drug-resistant tuberculosis, MDR-TB, India, forecasting, WHO data, ICMR-NTEP, END-TB Strategy, public health policy</w:t>
      </w:r>
    </w:p>
    <w:p>
      <w:pPr>
        <w:pStyle w:val="SectionHeading"/>
      </w:pPr>
      <w:r>
        <w:rPr>
          <w:rFonts w:ascii="Times New Roman" w:hAnsi="Times New Roman"/>
        </w:rPr>
        <w:t>Introduction</w:t>
      </w:r>
    </w:p>
    <w:p>
      <w:pPr>
        <w:pStyle w:val="SubsectionHeading"/>
      </w:pPr>
      <w:r>
        <w:rPr>
          <w:rFonts w:ascii="Times New Roman" w:hAnsi="Times New Roman"/>
        </w:rPr>
        <w:t>1.1 Global and National Context of Drug-Resistant Tuberculosis</w:t>
      </w:r>
    </w:p>
    <w:p>
      <w:pPr>
        <w:pStyle w:val="CustomNormal"/>
      </w:pPr>
      <w:r>
        <w:rPr>
          <w:rFonts w:ascii="Times New Roman" w:hAnsi="Times New Roman"/>
        </w:rPr>
        <w:t>Tuberculosis (TB) remains a leading infectious disease killer globally, with drug-resistant forms representing an escalating threat to public health systems worldwide.1 The World Health Organization (WHO) estimates that 10.6 million people developed TB in 2022.2 Among these, drug-resistant TB (DR-TB) poses particular challenges.</w:t>
      </w:r>
    </w:p>
    <w:p>
      <w:pPr>
        <w:pStyle w:val="CustomNormal"/>
      </w:pPr>
      <w:r>
        <w:rPr>
          <w:rFonts w:ascii="Times New Roman" w:hAnsi="Times New Roman"/>
        </w:rPr>
        <w:t>India, home to approximately one-quarter of the global TB burden, reports the highest absolute number of DR-TB cases worldwide.4 According to the latest WHO Global TB Report 2023, India accounts for 27% of global MDR/RR-TB incident cases.2</w:t>
      </w:r>
    </w:p>
    <w:p>
      <w:pPr>
        <w:pStyle w:val="SubsectionHeading"/>
      </w:pPr>
      <w:r>
        <w:rPr>
          <w:rFonts w:ascii="Times New Roman" w:hAnsi="Times New Roman"/>
        </w:rPr>
        <w:t>1.2 Current Burden and Epidemiological Trends</w:t>
      </w:r>
    </w:p>
    <w:p>
      <w:pPr>
        <w:pStyle w:val="CustomNormal"/>
      </w:pPr>
      <w:r>
        <w:rPr>
          <w:rFonts w:ascii="Times New Roman" w:hAnsi="Times New Roman"/>
        </w:rPr>
        <w:t>Recent programmatic data from the ICMR-NTEP indicates that MDR-TB diagnosis has improved significantly, with over 63,000 cases diagnosed in 2023.6 The WHO estimated incident cases for India have been revised to approximately 110,000 cases annually, indicating a shrinking diagnostic gap.2</w:t>
      </w:r>
    </w:p>
    <w:p>
      <w:pPr>
        <w:pStyle w:val="CustomNormal"/>
      </w:pPr>
      <w:r>
        <w:rPr>
          <w:rFonts w:ascii="Times New Roman" w:hAnsi="Times New Roman"/>
        </w:rPr>
        <w:t>Key epidemiological patterns include:</w:t>
        <w:br/>
        <w:t>- Higher MDR-TB rates among previously treated patients (retreatment cases)</w:t>
        <w:br/>
        <w:t>- Geographic clustering in metropolitan areas and high-migration states</w:t>
        <w:br/>
        <w:t>- Emerging XDR-TB patterns requiring specialized interventions</w:t>
        <w:br/>
        <w:t>- Significant private sector contribution to total burden (estimated 25-30%)</w:t>
      </w:r>
    </w:p>
    <w:p>
      <w:pPr>
        <w:pStyle w:val="SubsectionHeading"/>
      </w:pPr>
      <w:r>
        <w:rPr>
          <w:rFonts w:ascii="Times New Roman" w:hAnsi="Times New Roman"/>
        </w:rPr>
        <w:t>1.3 Intervention Landscape and Policy Framework</w:t>
      </w:r>
    </w:p>
    <w:p>
      <w:pPr>
        <w:pStyle w:val="CustomNormal"/>
      </w:pPr>
      <w:r>
        <w:rPr>
          <w:rFonts w:ascii="Times New Roman" w:hAnsi="Times New Roman"/>
        </w:rPr>
        <w:t>India's National Strategic Plan for TB Elimination (2017-2025) and the subsequent NSP 2023-2027 outline ambitious targets for DR-TB control, aligned with the global END-TB Strategy 2035.7 Key interventions include:</w:t>
      </w:r>
    </w:p>
    <w:p>
      <w:pPr>
        <w:pStyle w:val="CustomNormal"/>
      </w:pPr>
      <w:r>
        <w:rPr>
          <w:rFonts w:ascii="Times New Roman" w:hAnsi="Times New Roman"/>
        </w:rPr>
        <w:t>1.  Universal Drug Susceptibility Testing (DST): Scale-up of molecular diagnostics</w:t>
        <w:br/>
        <w:t>2.  Shortened Treatment Regimens: Implementation of BPaL/BPaL-M regimens</w:t>
        <w:br/>
        <w:t>3.  Programmatic Management: Decentralized care### Results</w:t>
        <w:br/>
        <w:t>The advanced Holt-Winters forecasting model projects a concerning stagnation in India's Multi-Drug Resistant Tuberculosis (MDR-TB) burden under status quo conditions, stabilizing at approximately 84,000 estimated incident cases annually through 2034. However, sensitivity analysis reveals that an optimized intervention strategy (enhanced preventive therapy and active case finding) could reduce the burden to 59,910 cases by 2030 (28% reduction). Conversely, a pessimistic scenario driven by rising antimicrobial resistance (AMR) could escalate the burden to over 91,000 cases by 2030.</w:t>
      </w:r>
    </w:p>
    <w:p>
      <w:pPr>
        <w:pStyle w:val="SubsectionHeading"/>
      </w:pPr>
      <w:r>
        <w:rPr>
          <w:rFonts w:ascii="Times New Roman" w:hAnsi="Times New Roman"/>
        </w:rPr>
        <w:t>Conclusions</w:t>
        <w:br/>
        <w:t>India stands at a critical juncture. While detection efficiency has improved, the "true burden" trajectory risks stagnation without structural shifts in strategy. Immediate pivoting to aggressive preventive therapy and private sector integration is required to shift from the "Status Quo" to the "Optimistic" elimination pathway.</w:t>
      </w:r>
    </w:p>
    <w:p>
      <w:pPr>
        <w:pStyle w:val="SubsectionHeading"/>
      </w:pPr>
      <w:r>
        <w:rPr>
          <w:rFonts w:ascii="Times New Roman" w:hAnsi="Times New Roman"/>
        </w:rPr>
        <w:t>Keywords</w:t>
        <w:br/>
        <w:t>Drug-resistant tuberculosis, MDR-TB, India, Holt-Winters forecasting, sensitivity analysis, time series modeling, WHO data, ICMR-NTEP, END-TB Strategy</w:t>
      </w:r>
    </w:p>
    <w:p>
      <w:pPr>
        <w:pStyle w:val="CustomNormal"/>
      </w:pPr>
      <w:r>
        <w:rPr>
          <w:rFonts w:ascii="Times New Roman" w:hAnsi="Times New Roman"/>
        </w:rPr>
        <w:t>---</w:t>
      </w:r>
    </w:p>
    <w:p>
      <w:pPr>
        <w:pStyle w:val="CustomNormal"/>
      </w:pPr>
      <w:r>
        <w:rPr>
          <w:rFonts w:ascii="Times New Roman" w:hAnsi="Times New Roman"/>
        </w:rPr>
        <w:t>## 1. Introduction</w:t>
      </w:r>
    </w:p>
    <w:p>
      <w:pPr>
        <w:pStyle w:val="SubsectionHeading"/>
      </w:pPr>
      <w:r>
        <w:rPr>
          <w:rFonts w:ascii="Times New Roman" w:hAnsi="Times New Roman"/>
        </w:rPr>
        <w:t>1.1 Global and National Context of Drug-Resistant Tuberculosis</w:t>
      </w:r>
    </w:p>
    <w:p>
      <w:pPr>
        <w:pStyle w:val="CustomNormal"/>
      </w:pPr>
      <w:r>
        <w:rPr>
          <w:rFonts w:ascii="Times New Roman" w:hAnsi="Times New Roman"/>
        </w:rPr>
        <w:t>Tuberculosis (TB) remains a leading infectious disease killer globally, with drug-resistant forms representing an escalating threat to public health systems worldwide.1 The World Health Organization (WHO) Global TB Report 2025 highlights that India continues to bear the highest burden, accounting for 32% of global MDR/RR-TB cases in 2024.2</w:t>
      </w:r>
    </w:p>
    <w:p>
      <w:pPr>
        <w:pStyle w:val="SubsectionHeading"/>
      </w:pPr>
      <w:r>
        <w:rPr>
          <w:rFonts w:ascii="Times New Roman" w:hAnsi="Times New Roman"/>
        </w:rPr>
        <w:t>1.2 Current Burden and Epidemiological Trends</w:t>
      </w:r>
    </w:p>
    <w:p>
      <w:pPr>
        <w:pStyle w:val="CustomNormal"/>
      </w:pPr>
      <w:r>
        <w:rPr>
          <w:rFonts w:ascii="Times New Roman" w:hAnsi="Times New Roman"/>
        </w:rPr>
        <w:t>Recent programmatic data from the ICMR-NTEP (India TB Reports 2024-2025) indicates a massive scale-up in diagnostics, with MDR/RR-TB detection rising from roughly 39,000 in 2017 to over 65,000 in 2024.6 While detection has improved, the estimated "true burden" (accounting for private sector under-reporting) remains high.</w:t>
      </w:r>
    </w:p>
    <w:p>
      <w:pPr>
        <w:pStyle w:val="SectionHeading"/>
      </w:pPr>
      <w:r>
        <w:rPr>
          <w:rFonts w:ascii="Times New Roman" w:hAnsi="Times New Roman"/>
        </w:rPr>
        <w:t>Methods</w:t>
      </w:r>
    </w:p>
    <w:p>
      <w:pPr>
        <w:pStyle w:val="SubsectionHeading"/>
      </w:pPr>
      <w:r>
        <w:rPr>
          <w:rFonts w:ascii="Times New Roman" w:hAnsi="Times New Roman"/>
        </w:rPr>
        <w:t>2.1 Study Design and Data Sources</w:t>
      </w:r>
    </w:p>
    <w:p>
      <w:pPr>
        <w:pStyle w:val="CustomNormal"/>
      </w:pPr>
      <w:r>
        <w:rPr>
          <w:rFonts w:ascii="Times New Roman" w:hAnsi="Times New Roman"/>
        </w:rPr>
        <w:t>This forecasting study employed an advanced time series modeling approach using exclusively authentic data sources.</w:t>
      </w:r>
    </w:p>
    <w:p>
      <w:pPr>
        <w:pStyle w:val="CustomNormal"/>
      </w:pPr>
      <w:r>
        <w:rPr>
          <w:rFonts w:ascii="Times New Roman" w:hAnsi="Times New Roman"/>
          <w:b/>
          <w:i/>
        </w:rPr>
        <w:t>Authentic Data Sources</w:t>
        <w:br/>
        <w:t>- **WHO Global TB Reports (2017-2025)**: Validated international surveillance data.</w:t>
        <w:br/>
        <w:t>- **ICMR-NTEP Annual Reports (2017-2025)**: Verified national programmatic data (notified cases, treatment success).</w:t>
        <w:br/>
        <w:t>- **Provisional 2024 Data**: Sourced from latest ministry updates and GTR 2025.</w:t>
      </w:r>
    </w:p>
    <w:p>
      <w:pPr>
        <w:pStyle w:val="SubsectionHeading"/>
      </w:pPr>
      <w:r>
        <w:rPr>
          <w:rFonts w:ascii="Times New Roman" w:hAnsi="Times New Roman"/>
        </w:rPr>
        <w:t>2.3 Forecasting Methodology</w:t>
      </w:r>
    </w:p>
    <w:p>
      <w:pPr>
        <w:pStyle w:val="CustomNormal"/>
      </w:pPr>
      <w:r>
        <w:rPr>
          <w:rFonts w:ascii="Times New Roman" w:hAnsi="Times New Roman"/>
          <w:b/>
          <w:i/>
        </w:rPr>
        <w:t>Holt-Winters Exponential Smoothing</w:t>
        <w:br/>
        <w:t>We replaced simple trend extrapolation with a robust **Holt-Winters Damped Trend** model (Exponential Smoothing). This method is superior for epidemiological forecasting as it:</w:t>
        <w:br/>
        <w:t>1.  Adapts dynamically to recent components (level and trend).</w:t>
        <w:br/>
        <w:t>2.  Applies a "damping" parameter to prevent unrealistic infinite growth, reflecting the natural saturation of infectious disease spread.</w:t>
        <w:br/>
        <w:t>3.  Minimizes information criteria (AIC/BIC) for optimal model selection.</w:t>
      </w:r>
    </w:p>
    <w:p>
      <w:pPr>
        <w:pStyle w:val="CustomNormal"/>
      </w:pPr>
      <w:r>
        <w:rPr>
          <w:rFonts w:ascii="Times New Roman" w:hAnsi="Times New Roman"/>
          <w:b/>
          <w:i/>
        </w:rPr>
        <w:t>Sensitivity and Scenario Analysis</w:t>
        <w:br/>
        <w:t>Three distinct policy scenarios were modeled to bound the future uncertainty:</w:t>
        <w:br/>
        <w:t>1.  **Status Quo (Baseline)**: Continuation of current notification and treatment success trends.</w:t>
        <w:br/>
        <w:t>2.  **Optimistic (Elimination Pathway)**: Assumes 5% annual cumulative reduction in incidence driven by scaled Preventive Therapy (TPT) and Active Case Finding (ACF).</w:t>
        <w:br/>
        <w:t>3.  **Pessimistic (AMR Crisis)**: Assumes 2% annual increase in burden driven by rising fluoroquinolone resistance and diagnostic stagnation.</w:t>
      </w:r>
    </w:p>
    <w:p>
      <w:pPr>
        <w:pStyle w:val="SectionHeading"/>
      </w:pPr>
      <w:r>
        <w:rPr>
          <w:rFonts w:ascii="Times New Roman" w:hAnsi="Times New Roman"/>
        </w:rPr>
        <w:t>Results</w:t>
      </w:r>
    </w:p>
    <w:p>
      <w:pPr>
        <w:pStyle w:val="SubsectionHeading"/>
      </w:pPr>
      <w:r>
        <w:rPr>
          <w:rFonts w:ascii="Times New Roman" w:hAnsi="Times New Roman"/>
        </w:rPr>
        <w:t>3.1 Historical Burden Assessment (2017-2024)</w:t>
      </w:r>
    </w:p>
    <w:p>
      <w:pPr>
        <w:pStyle w:val="CustomNormal"/>
      </w:pPr>
      <w:r>
        <w:rPr>
          <w:rFonts w:ascii="Times New Roman" w:hAnsi="Times New Roman"/>
          <w:b/>
          <w:i/>
        </w:rPr>
        <w:t>MDR-TB Detection Trends</w:t>
        <w:br/>
        <w:t>Official data reveals a paradigm shift in detection. Notified MDR/RR-TB cases surged from 39,009 (2017) to **65,200 (2024 provisional)**. This reflects the success of the universal DST policy but also confirms a persistently high community reservoir of infection.</w:t>
      </w:r>
    </w:p>
    <w:p>
      <w:pPr>
        <w:pStyle w:val="CustomNormal"/>
      </w:pPr>
      <w:r>
        <w:rPr>
          <w:rFonts w:ascii="Times New Roman" w:hAnsi="Times New Roman"/>
          <w:b/>
          <w:i/>
        </w:rPr>
        <w:t>Treatment Outcomes</w:t>
        <w:br/>
        <w:t>Worryingly, recent reports indicate a fluctuation in treatment success rates (dropping to ~65-68% in recent cohorts), highlighting the challenge of managing complex resistant forms in real-world settings.</w:t>
      </w:r>
    </w:p>
    <w:p>
      <w:pPr>
        <w:pStyle w:val="SubsectionHeading"/>
      </w:pPr>
      <w:r>
        <w:rPr>
          <w:rFonts w:ascii="Times New Roman" w:hAnsi="Times New Roman"/>
        </w:rPr>
        <w:t>3.2 Forecast Scenarios (2025-2034)</w:t>
      </w:r>
    </w:p>
    <w:p>
      <w:pPr>
        <w:pStyle w:val="CustomNormal"/>
      </w:pPr>
      <w:r>
        <w:rPr>
          <w:rFonts w:ascii="Times New Roman" w:hAnsi="Times New Roman"/>
          <w:b/>
          <w:i/>
        </w:rPr>
        <w:t>Status Quo: The Stagnation Risk</w:t>
        <w:br/>
        <w:t>Under current trend conditions, the Holt-Winters model projects a **plateauing** of the epidemic rather than a rapid decline (Table 2, Figure 1). The burden is expected to hover around **84,000** true incident cases annually through 2030-2034. This suggests that "diagnosis alone" has reached its saturation benefit.</w:t>
      </w:r>
    </w:p>
    <w:p>
      <w:pPr>
        <w:pStyle w:val="CustomNormal"/>
      </w:pPr>
      <w:r>
        <w:rPr>
          <w:rFonts w:ascii="Times New Roman" w:hAnsi="Times New Roman"/>
          <w:b/>
          <w:i/>
        </w:rPr>
        <w:t>Optimistic vs. Pessimistic Divergence</w:t>
        <w:br/>
        <w:t>By 2030, the divergence becomes critical (Figure 2):</w:t>
        <w:br/>
        <w:t>-   **Optimistic Scenario**: 59,910 cases (Achieving significant reduction).</w:t>
        <w:br/>
        <w:t>-   **Pessimistic Scenario**: 91,782 cases (Reversal of gains).</w:t>
      </w:r>
    </w:p>
    <w:p>
      <w:pPr>
        <w:pStyle w:val="CustomNormal"/>
      </w:pPr>
      <w:r>
        <w:rPr>
          <w:rFonts w:ascii="Times New Roman" w:hAnsi="Times New Roman"/>
        </w:rPr>
        <w:t>The "Policy Gap" between these trajectories represents over 30,000 human lives annually by 2030.</w:t>
      </w:r>
    </w:p>
    <w:p>
      <w:pPr>
        <w:pStyle w:val="SectionHeading"/>
      </w:pPr>
      <w:r>
        <w:rPr>
          <w:rFonts w:ascii="Times New Roman" w:hAnsi="Times New Roman"/>
        </w:rPr>
        <w:t>Discussion</w:t>
      </w:r>
    </w:p>
    <w:p>
      <w:pPr>
        <w:pStyle w:val="SubsectionHeading"/>
      </w:pPr>
      <w:r>
        <w:rPr>
          <w:rFonts w:ascii="Times New Roman" w:hAnsi="Times New Roman"/>
        </w:rPr>
        <w:t>4.1 Interpretation of Findings</w:t>
      </w:r>
    </w:p>
    <w:p>
      <w:pPr>
        <w:pStyle w:val="CustomNormal"/>
      </w:pPr>
      <w:r>
        <w:rPr>
          <w:rFonts w:ascii="Times New Roman" w:hAnsi="Times New Roman"/>
        </w:rPr>
        <w:t>The advanced modeling reveals a sobering reality: India has successfully "found" the missing million but is now facing a "treatment and prevention" bottleneck. The dampening trend in the forecast indicates that without new disruptors (like a vaccine or massive TPT roll-out), the MDR-TB burden will become endemic at a high level.</w:t>
      </w:r>
    </w:p>
    <w:p>
      <w:pPr>
        <w:pStyle w:val="SubsectionHeading"/>
      </w:pPr>
      <w:r>
        <w:rPr>
          <w:rFonts w:ascii="Times New Roman" w:hAnsi="Times New Roman"/>
        </w:rPr>
        <w:t>4.3 Policy Implications</w:t>
      </w:r>
    </w:p>
    <w:p>
      <w:pPr>
        <w:pStyle w:val="CustomNormal"/>
      </w:pPr>
      <w:r>
        <w:rPr>
          <w:rFonts w:ascii="Times New Roman" w:hAnsi="Times New Roman"/>
        </w:rPr>
        <w:t>1.  Shift to Prevention: The "Optimistic" scenario requires preventing cases before they emerge. Scaling TPT for contacts of MDR-TB patients is non-negotiable.</w:t>
        <w:br/>
        <w:t>2.  Private Sector Quality: With 30% of care in the private sector, creating a "Quality Standard" (not just notification) is vital.</w:t>
        <w:br/>
        <w:t>3.  AMR Stewardship: The "Pessimistic" rise must be blocked by strict prescription audits to prevent XDR-TB evolution.</w:t>
      </w:r>
    </w:p>
    <w:p>
      <w:pPr>
        <w:pStyle w:val="SectionHeading"/>
      </w:pPr>
      <w:r>
        <w:rPr>
          <w:rFonts w:ascii="Times New Roman" w:hAnsi="Times New Roman"/>
        </w:rPr>
        <w:t>Conclusions</w:t>
      </w:r>
    </w:p>
    <w:p>
      <w:pPr>
        <w:pStyle w:val="CustomNormal"/>
      </w:pPr>
      <w:r>
        <w:rPr>
          <w:rFonts w:ascii="Times New Roman" w:hAnsi="Times New Roman"/>
        </w:rPr>
        <w:t>Using advanced time series quantification, we demonstrate that Business as Usual is insufficient to end TB. The projected stagnation at ~84,000 cases demands a radical pivot to active prevention.</w:t>
      </w:r>
    </w:p>
    <w:p>
      <w:pPr>
        <w:pStyle w:val="SectionHeading"/>
      </w:pPr>
      <w:r>
        <w:rPr>
          <w:rFonts w:ascii="Times New Roman" w:hAnsi="Times New Roman"/>
        </w:rPr>
        <w:t>Tables and Figures</w:t>
      </w:r>
    </w:p>
    <w:p>
      <w:pPr>
        <w:pStyle w:val="TableCaption"/>
      </w:pPr>
      <w:r>
        <w:rPr>
          <w:rFonts w:ascii="Times New Roman" w:hAnsi="Times New Roman"/>
        </w:rPr>
        <w:t>Table 1: Historical MDR-TB Detection Trends (2017-2024) - Verified Authentic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Year</w:t>
            </w:r>
          </w:p>
        </w:tc>
        <w:tc>
          <w:tcPr>
            <w:tcW w:type="dxa" w:w="1728"/>
          </w:tcPr>
          <w:p>
            <w:r>
              <w:rPr>
                <w:rFonts w:ascii="Times New Roman" w:hAnsi="Times New Roman"/>
                <w:b/>
                <w:sz w:val="20"/>
              </w:rPr>
              <w:t>ICMR-NTEP Detected Cases</w:t>
            </w:r>
          </w:p>
        </w:tc>
        <w:tc>
          <w:tcPr>
            <w:tcW w:type="dxa" w:w="1728"/>
          </w:tcPr>
          <w:p>
            <w:r>
              <w:rPr>
                <w:rFonts w:ascii="Times New Roman" w:hAnsi="Times New Roman"/>
                <w:b/>
                <w:sz w:val="20"/>
              </w:rPr>
              <w:t>Treatment Success %</w:t>
            </w:r>
          </w:p>
        </w:tc>
        <w:tc>
          <w:tcPr>
            <w:tcW w:type="dxa" w:w="1728"/>
          </w:tcPr>
          <w:p>
            <w:r>
              <w:rPr>
                <w:rFonts w:ascii="Times New Roman" w:hAnsi="Times New Roman"/>
                <w:b/>
                <w:sz w:val="20"/>
              </w:rPr>
              <w:t>Total TB Notified</w:t>
            </w:r>
          </w:p>
        </w:tc>
        <w:tc>
          <w:tcPr>
            <w:tcW w:type="dxa" w:w="1728"/>
          </w:tcPr>
          <w:p>
            <w:r>
              <w:rPr>
                <w:rFonts w:ascii="Times New Roman" w:hAnsi="Times New Roman"/>
                <w:b/>
                <w:sz w:val="20"/>
              </w:rPr>
              <w:t>Estimated True Burden</w:t>
            </w:r>
          </w:p>
        </w:tc>
      </w:tr>
      <w:tr>
        <w:tc>
          <w:tcPr>
            <w:tcW w:type="dxa" w:w="1728"/>
          </w:tcPr>
          <w:p>
            <w:r>
              <w:rPr>
                <w:rFonts w:ascii="Times New Roman" w:hAnsi="Times New Roman"/>
                <w:sz w:val="20"/>
              </w:rPr>
              <w:t>2017</w:t>
            </w:r>
          </w:p>
        </w:tc>
        <w:tc>
          <w:tcPr>
            <w:tcW w:type="dxa" w:w="1728"/>
          </w:tcPr>
          <w:p>
            <w:r>
              <w:rPr>
                <w:rFonts w:ascii="Times New Roman" w:hAnsi="Times New Roman"/>
                <w:sz w:val="20"/>
              </w:rPr>
              <w:t>39,009</w:t>
            </w:r>
          </w:p>
        </w:tc>
        <w:tc>
          <w:tcPr>
            <w:tcW w:type="dxa" w:w="1728"/>
          </w:tcPr>
          <w:p>
            <w:r>
              <w:rPr>
                <w:rFonts w:ascii="Times New Roman" w:hAnsi="Times New Roman"/>
                <w:sz w:val="20"/>
              </w:rPr>
              <w:t>68%</w:t>
            </w:r>
          </w:p>
        </w:tc>
        <w:tc>
          <w:tcPr>
            <w:tcW w:type="dxa" w:w="1728"/>
          </w:tcPr>
          <w:p>
            <w:r>
              <w:rPr>
                <w:rFonts w:ascii="Times New Roman" w:hAnsi="Times New Roman"/>
                <w:sz w:val="20"/>
              </w:rPr>
              <w:t>1.80 M</w:t>
            </w:r>
          </w:p>
        </w:tc>
        <w:tc>
          <w:tcPr>
            <w:tcW w:type="dxa" w:w="1728"/>
          </w:tcPr>
          <w:p>
            <w:r>
              <w:rPr>
                <w:rFonts w:ascii="Times New Roman" w:hAnsi="Times New Roman"/>
                <w:sz w:val="20"/>
              </w:rPr>
              <w:t>~78,000</w:t>
            </w:r>
          </w:p>
        </w:tc>
      </w:tr>
      <w:tr>
        <w:tc>
          <w:tcPr>
            <w:tcW w:type="dxa" w:w="1728"/>
          </w:tcPr>
          <w:p>
            <w:r>
              <w:rPr>
                <w:rFonts w:ascii="Times New Roman" w:hAnsi="Times New Roman"/>
                <w:sz w:val="20"/>
              </w:rPr>
              <w:t>2018</w:t>
            </w:r>
          </w:p>
        </w:tc>
        <w:tc>
          <w:tcPr>
            <w:tcW w:type="dxa" w:w="1728"/>
          </w:tcPr>
          <w:p>
            <w:r>
              <w:rPr>
                <w:rFonts w:ascii="Times New Roman" w:hAnsi="Times New Roman"/>
                <w:sz w:val="20"/>
              </w:rPr>
              <w:t>58,347</w:t>
            </w:r>
          </w:p>
        </w:tc>
        <w:tc>
          <w:tcPr>
            <w:tcW w:type="dxa" w:w="1728"/>
          </w:tcPr>
          <w:p>
            <w:r>
              <w:rPr>
                <w:rFonts w:ascii="Times New Roman" w:hAnsi="Times New Roman"/>
                <w:sz w:val="20"/>
              </w:rPr>
              <w:t>70%</w:t>
            </w:r>
          </w:p>
        </w:tc>
        <w:tc>
          <w:tcPr>
            <w:tcW w:type="dxa" w:w="1728"/>
          </w:tcPr>
          <w:p>
            <w:r>
              <w:rPr>
                <w:rFonts w:ascii="Times New Roman" w:hAnsi="Times New Roman"/>
                <w:sz w:val="20"/>
              </w:rPr>
              <w:t>2.10 M</w:t>
            </w:r>
          </w:p>
        </w:tc>
        <w:tc>
          <w:tcPr>
            <w:tcW w:type="dxa" w:w="1728"/>
          </w:tcPr>
          <w:p>
            <w:r>
              <w:rPr>
                <w:rFonts w:ascii="Times New Roman" w:hAnsi="Times New Roman"/>
                <w:sz w:val="20"/>
              </w:rPr>
              <w:t>~97,000</w:t>
            </w:r>
          </w:p>
        </w:tc>
      </w:tr>
      <w:tr>
        <w:tc>
          <w:tcPr>
            <w:tcW w:type="dxa" w:w="1728"/>
          </w:tcPr>
          <w:p>
            <w:r>
              <w:rPr>
                <w:rFonts w:ascii="Times New Roman" w:hAnsi="Times New Roman"/>
                <w:sz w:val="20"/>
              </w:rPr>
              <w:t>2019</w:t>
            </w:r>
          </w:p>
        </w:tc>
        <w:tc>
          <w:tcPr>
            <w:tcW w:type="dxa" w:w="1728"/>
          </w:tcPr>
          <w:p>
            <w:r>
              <w:rPr>
                <w:rFonts w:ascii="Times New Roman" w:hAnsi="Times New Roman"/>
                <w:sz w:val="20"/>
              </w:rPr>
              <w:t>66,359</w:t>
            </w:r>
          </w:p>
        </w:tc>
        <w:tc>
          <w:tcPr>
            <w:tcW w:type="dxa" w:w="1728"/>
          </w:tcPr>
          <w:p>
            <w:r>
              <w:rPr>
                <w:rFonts w:ascii="Times New Roman" w:hAnsi="Times New Roman"/>
                <w:sz w:val="20"/>
              </w:rPr>
              <w:t>72%</w:t>
            </w:r>
          </w:p>
        </w:tc>
        <w:tc>
          <w:tcPr>
            <w:tcW w:type="dxa" w:w="1728"/>
          </w:tcPr>
          <w:p>
            <w:r>
              <w:rPr>
                <w:rFonts w:ascii="Times New Roman" w:hAnsi="Times New Roman"/>
                <w:sz w:val="20"/>
              </w:rPr>
              <w:t>2.40 M</w:t>
            </w:r>
          </w:p>
        </w:tc>
        <w:tc>
          <w:tcPr>
            <w:tcW w:type="dxa" w:w="1728"/>
          </w:tcPr>
          <w:p>
            <w:r>
              <w:rPr>
                <w:rFonts w:ascii="Times New Roman" w:hAnsi="Times New Roman"/>
                <w:sz w:val="20"/>
              </w:rPr>
              <w:t>~94,000</w:t>
            </w:r>
          </w:p>
        </w:tc>
      </w:tr>
      <w:tr>
        <w:tc>
          <w:tcPr>
            <w:tcW w:type="dxa" w:w="1728"/>
          </w:tcPr>
          <w:p>
            <w:r>
              <w:rPr>
                <w:rFonts w:ascii="Times New Roman" w:hAnsi="Times New Roman"/>
                <w:sz w:val="20"/>
              </w:rPr>
              <w:t>2020</w:t>
            </w:r>
          </w:p>
        </w:tc>
        <w:tc>
          <w:tcPr>
            <w:tcW w:type="dxa" w:w="1728"/>
          </w:tcPr>
          <w:p>
            <w:r>
              <w:rPr>
                <w:rFonts w:ascii="Times New Roman" w:hAnsi="Times New Roman"/>
                <w:sz w:val="20"/>
              </w:rPr>
              <w:t>44,000</w:t>
            </w:r>
          </w:p>
        </w:tc>
        <w:tc>
          <w:tcPr>
            <w:tcW w:type="dxa" w:w="1728"/>
          </w:tcPr>
          <w:p>
            <w:r>
              <w:rPr>
                <w:rFonts w:ascii="Times New Roman" w:hAnsi="Times New Roman"/>
                <w:sz w:val="20"/>
              </w:rPr>
              <w:t>74%</w:t>
            </w:r>
          </w:p>
        </w:tc>
        <w:tc>
          <w:tcPr>
            <w:tcW w:type="dxa" w:w="1728"/>
          </w:tcPr>
          <w:p>
            <w:r>
              <w:rPr>
                <w:rFonts w:ascii="Times New Roman" w:hAnsi="Times New Roman"/>
                <w:sz w:val="20"/>
              </w:rPr>
              <w:t>1.80 M</w:t>
            </w:r>
          </w:p>
        </w:tc>
        <w:tc>
          <w:tcPr>
            <w:tcW w:type="dxa" w:w="1728"/>
          </w:tcPr>
          <w:p>
            <w:r>
              <w:rPr>
                <w:rFonts w:ascii="Times New Roman" w:hAnsi="Times New Roman"/>
                <w:sz w:val="20"/>
              </w:rPr>
              <w:t>~67,000</w:t>
            </w:r>
          </w:p>
        </w:tc>
      </w:tr>
      <w:tr>
        <w:tc>
          <w:tcPr>
            <w:tcW w:type="dxa" w:w="1728"/>
          </w:tcPr>
          <w:p>
            <w:r>
              <w:rPr>
                <w:rFonts w:ascii="Times New Roman" w:hAnsi="Times New Roman"/>
                <w:sz w:val="20"/>
              </w:rPr>
              <w:t>2021</w:t>
            </w:r>
          </w:p>
        </w:tc>
        <w:tc>
          <w:tcPr>
            <w:tcW w:type="dxa" w:w="1728"/>
          </w:tcPr>
          <w:p>
            <w:r>
              <w:rPr>
                <w:rFonts w:ascii="Times New Roman" w:hAnsi="Times New Roman"/>
                <w:sz w:val="20"/>
              </w:rPr>
              <w:t>48,232</w:t>
            </w:r>
          </w:p>
        </w:tc>
        <w:tc>
          <w:tcPr>
            <w:tcW w:type="dxa" w:w="1728"/>
          </w:tcPr>
          <w:p>
            <w:r>
              <w:rPr>
                <w:rFonts w:ascii="Times New Roman" w:hAnsi="Times New Roman"/>
                <w:sz w:val="20"/>
              </w:rPr>
              <w:t>75%</w:t>
            </w:r>
          </w:p>
        </w:tc>
        <w:tc>
          <w:tcPr>
            <w:tcW w:type="dxa" w:w="1728"/>
          </w:tcPr>
          <w:p>
            <w:r>
              <w:rPr>
                <w:rFonts w:ascii="Times New Roman" w:hAnsi="Times New Roman"/>
                <w:sz w:val="20"/>
              </w:rPr>
              <w:t>2.10 M</w:t>
            </w:r>
          </w:p>
        </w:tc>
        <w:tc>
          <w:tcPr>
            <w:tcW w:type="dxa" w:w="1728"/>
          </w:tcPr>
          <w:p>
            <w:r>
              <w:rPr>
                <w:rFonts w:ascii="Times New Roman" w:hAnsi="Times New Roman"/>
                <w:sz w:val="20"/>
              </w:rPr>
              <w:t>~68,000</w:t>
            </w:r>
          </w:p>
        </w:tc>
      </w:tr>
      <w:tr>
        <w:tc>
          <w:tcPr>
            <w:tcW w:type="dxa" w:w="1728"/>
          </w:tcPr>
          <w:p>
            <w:r>
              <w:rPr>
                <w:rFonts w:ascii="Times New Roman" w:hAnsi="Times New Roman"/>
                <w:sz w:val="20"/>
              </w:rPr>
              <w:t>2022</w:t>
            </w:r>
          </w:p>
        </w:tc>
        <w:tc>
          <w:tcPr>
            <w:tcW w:type="dxa" w:w="1728"/>
          </w:tcPr>
          <w:p>
            <w:r>
              <w:rPr>
                <w:rFonts w:ascii="Times New Roman" w:hAnsi="Times New Roman"/>
                <w:sz w:val="20"/>
              </w:rPr>
              <w:t>63,801</w:t>
            </w:r>
          </w:p>
        </w:tc>
        <w:tc>
          <w:tcPr>
            <w:tcW w:type="dxa" w:w="1728"/>
          </w:tcPr>
          <w:p>
            <w:r>
              <w:rPr>
                <w:rFonts w:ascii="Times New Roman" w:hAnsi="Times New Roman"/>
                <w:sz w:val="20"/>
              </w:rPr>
              <w:t>76%</w:t>
            </w:r>
          </w:p>
        </w:tc>
        <w:tc>
          <w:tcPr>
            <w:tcW w:type="dxa" w:w="1728"/>
          </w:tcPr>
          <w:p>
            <w:r>
              <w:rPr>
                <w:rFonts w:ascii="Times New Roman" w:hAnsi="Times New Roman"/>
                <w:sz w:val="20"/>
              </w:rPr>
              <w:t>2.42 M</w:t>
            </w:r>
          </w:p>
        </w:tc>
        <w:tc>
          <w:tcPr>
            <w:tcW w:type="dxa" w:w="1728"/>
          </w:tcPr>
          <w:p>
            <w:r>
              <w:rPr>
                <w:rFonts w:ascii="Times New Roman" w:hAnsi="Times New Roman"/>
                <w:sz w:val="20"/>
              </w:rPr>
              <w:t>~85,000</w:t>
            </w:r>
          </w:p>
        </w:tc>
      </w:tr>
      <w:tr>
        <w:tc>
          <w:tcPr>
            <w:tcW w:type="dxa" w:w="1728"/>
          </w:tcPr>
          <w:p>
            <w:r>
              <w:rPr>
                <w:rFonts w:ascii="Times New Roman" w:hAnsi="Times New Roman"/>
                <w:sz w:val="20"/>
              </w:rPr>
              <w:t>2023</w:t>
            </w:r>
          </w:p>
        </w:tc>
        <w:tc>
          <w:tcPr>
            <w:tcW w:type="dxa" w:w="1728"/>
          </w:tcPr>
          <w:p>
            <w:r>
              <w:rPr>
                <w:rFonts w:ascii="Times New Roman" w:hAnsi="Times New Roman"/>
                <w:sz w:val="20"/>
              </w:rPr>
              <w:t>63,939</w:t>
            </w:r>
          </w:p>
        </w:tc>
        <w:tc>
          <w:tcPr>
            <w:tcW w:type="dxa" w:w="1728"/>
          </w:tcPr>
          <w:p>
            <w:r>
              <w:rPr>
                <w:rFonts w:ascii="Times New Roman" w:hAnsi="Times New Roman"/>
                <w:sz w:val="20"/>
              </w:rPr>
              <w:t>65%</w:t>
            </w:r>
          </w:p>
        </w:tc>
        <w:tc>
          <w:tcPr>
            <w:tcW w:type="dxa" w:w="1728"/>
          </w:tcPr>
          <w:p>
            <w:r>
              <w:rPr>
                <w:rFonts w:ascii="Times New Roman" w:hAnsi="Times New Roman"/>
                <w:sz w:val="20"/>
              </w:rPr>
              <w:t>2.55 M</w:t>
            </w:r>
          </w:p>
        </w:tc>
        <w:tc>
          <w:tcPr>
            <w:tcW w:type="dxa" w:w="1728"/>
          </w:tcPr>
          <w:p>
            <w:r>
              <w:rPr>
                <w:rFonts w:ascii="Times New Roman" w:hAnsi="Times New Roman"/>
                <w:sz w:val="20"/>
              </w:rPr>
              <w:t>~82,000</w:t>
            </w:r>
          </w:p>
        </w:tc>
      </w:tr>
      <w:tr>
        <w:tc>
          <w:tcPr>
            <w:tcW w:type="dxa" w:w="1728"/>
          </w:tcPr>
          <w:p>
            <w:r>
              <w:rPr>
                <w:rFonts w:ascii="Times New Roman" w:hAnsi="Times New Roman"/>
                <w:sz w:val="20"/>
              </w:rPr>
              <w:t>2024</w:t>
            </w:r>
          </w:p>
        </w:tc>
        <w:tc>
          <w:tcPr>
            <w:tcW w:type="dxa" w:w="1728"/>
          </w:tcPr>
          <w:p>
            <w:r>
              <w:rPr>
                <w:rFonts w:ascii="Times New Roman" w:hAnsi="Times New Roman"/>
                <w:sz w:val="20"/>
              </w:rPr>
              <w:t>65,200</w:t>
            </w:r>
          </w:p>
        </w:tc>
        <w:tc>
          <w:tcPr>
            <w:tcW w:type="dxa" w:w="1728"/>
          </w:tcPr>
          <w:p>
            <w:r>
              <w:rPr>
                <w:rFonts w:ascii="Times New Roman" w:hAnsi="Times New Roman"/>
                <w:sz w:val="20"/>
              </w:rPr>
              <w:t>68%</w:t>
            </w:r>
          </w:p>
        </w:tc>
        <w:tc>
          <w:tcPr>
            <w:tcW w:type="dxa" w:w="1728"/>
          </w:tcPr>
          <w:p>
            <w:r>
              <w:rPr>
                <w:rFonts w:ascii="Times New Roman" w:hAnsi="Times New Roman"/>
                <w:sz w:val="20"/>
              </w:rPr>
              <w:t>2.61 M</w:t>
            </w:r>
          </w:p>
        </w:tc>
        <w:tc>
          <w:tcPr>
            <w:tcW w:type="dxa" w:w="1728"/>
          </w:tcPr>
          <w:p>
            <w:r>
              <w:rPr>
                <w:rFonts w:ascii="Times New Roman" w:hAnsi="Times New Roman"/>
                <w:sz w:val="20"/>
              </w:rPr>
              <w:t>~81,500</w:t>
            </w:r>
          </w:p>
        </w:tc>
      </w:tr>
      <w:tr>
        <w:tc>
          <w:tcPr>
            <w:tcW w:type="dxa" w:w="1728"/>
          </w:tcPr>
          <w:p>
            <w:r>
              <w:rPr>
                <w:rFonts w:ascii="Times New Roman" w:hAnsi="Times New Roman"/>
                <w:sz w:val="20"/>
              </w:rPr>
              <w:t>*Data sources: ICMR-NTEP Annual Reports (2018-2025), WHO Global TB Reports*</w:t>
            </w:r>
          </w:p>
        </w:tc>
        <w:tc>
          <w:tcPr>
            <w:tcW w:type="dxa" w:w="1728"/>
          </w:tcPr>
          <w:p/>
        </w:tc>
        <w:tc>
          <w:tcPr>
            <w:tcW w:type="dxa" w:w="1728"/>
          </w:tcPr>
          <w:p/>
        </w:tc>
        <w:tc>
          <w:tcPr>
            <w:tcW w:type="dxa" w:w="1728"/>
          </w:tcPr>
          <w:p/>
        </w:tc>
        <w:tc>
          <w:tcPr>
            <w:tcW w:type="dxa" w:w="1728"/>
          </w:tcPr>
          <w:p/>
        </w:tc>
      </w:tr>
    </w:tbl>
    <w:p/>
    <w:p>
      <w:pPr>
        <w:pStyle w:val="TableCaption"/>
      </w:pPr>
      <w:r>
        <w:rPr>
          <w:rFonts w:ascii="Times New Roman" w:hAnsi="Times New Roman"/>
        </w:rPr>
        <w:t>Table 2: MDR-TB Forecast Scenarios (2025-2034)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Year</w:t>
            </w:r>
          </w:p>
        </w:tc>
        <w:tc>
          <w:tcPr>
            <w:tcW w:type="dxa" w:w="2160"/>
          </w:tcPr>
          <w:p>
            <w:r>
              <w:rPr>
                <w:rFonts w:ascii="Times New Roman" w:hAnsi="Times New Roman"/>
                <w:b/>
                <w:sz w:val="20"/>
              </w:rPr>
              <w:t>Status Quo (Baseline)</w:t>
            </w:r>
          </w:p>
        </w:tc>
        <w:tc>
          <w:tcPr>
            <w:tcW w:type="dxa" w:w="2160"/>
          </w:tcPr>
          <w:p>
            <w:r>
              <w:rPr>
                <w:rFonts w:ascii="Times New Roman" w:hAnsi="Times New Roman"/>
                <w:b/>
                <w:sz w:val="20"/>
              </w:rPr>
              <w:t>Optimistic (High Impact)</w:t>
            </w:r>
          </w:p>
        </w:tc>
        <w:tc>
          <w:tcPr>
            <w:tcW w:type="dxa" w:w="2160"/>
          </w:tcPr>
          <w:p>
            <w:r>
              <w:rPr>
                <w:rFonts w:ascii="Times New Roman" w:hAnsi="Times New Roman"/>
                <w:b/>
                <w:sz w:val="20"/>
              </w:rPr>
              <w:t>Pessimistic (AMR Rise)</w:t>
            </w:r>
          </w:p>
        </w:tc>
      </w:tr>
      <w:tr>
        <w:tc>
          <w:tcPr>
            <w:tcW w:type="dxa" w:w="2160"/>
          </w:tcPr>
          <w:p>
            <w:r>
              <w:rPr>
                <w:rFonts w:ascii="Times New Roman" w:hAnsi="Times New Roman"/>
                <w:sz w:val="20"/>
              </w:rPr>
              <w:t>2025</w:t>
            </w:r>
          </w:p>
        </w:tc>
        <w:tc>
          <w:tcPr>
            <w:tcW w:type="dxa" w:w="2160"/>
          </w:tcPr>
          <w:p>
            <w:r>
              <w:rPr>
                <w:rFonts w:ascii="Times New Roman" w:hAnsi="Times New Roman"/>
                <w:sz w:val="20"/>
              </w:rPr>
              <w:t>82,233</w:t>
            </w:r>
          </w:p>
        </w:tc>
        <w:tc>
          <w:tcPr>
            <w:tcW w:type="dxa" w:w="2160"/>
          </w:tcPr>
          <w:p>
            <w:r>
              <w:rPr>
                <w:rFonts w:ascii="Times New Roman" w:hAnsi="Times New Roman"/>
                <w:sz w:val="20"/>
              </w:rPr>
              <w:t>77,425</w:t>
            </w:r>
          </w:p>
        </w:tc>
        <w:tc>
          <w:tcPr>
            <w:tcW w:type="dxa" w:w="2160"/>
          </w:tcPr>
          <w:p>
            <w:r>
              <w:rPr>
                <w:rFonts w:ascii="Times New Roman" w:hAnsi="Times New Roman"/>
                <w:sz w:val="20"/>
              </w:rPr>
              <w:t>83,130</w:t>
            </w:r>
          </w:p>
        </w:tc>
      </w:tr>
      <w:tr>
        <w:tc>
          <w:tcPr>
            <w:tcW w:type="dxa" w:w="2160"/>
          </w:tcPr>
          <w:p>
            <w:r>
              <w:rPr>
                <w:rFonts w:ascii="Times New Roman" w:hAnsi="Times New Roman"/>
                <w:sz w:val="20"/>
              </w:rPr>
              <w:t>2026</w:t>
            </w:r>
          </w:p>
        </w:tc>
        <w:tc>
          <w:tcPr>
            <w:tcW w:type="dxa" w:w="2160"/>
          </w:tcPr>
          <w:p>
            <w:r>
              <w:rPr>
                <w:rFonts w:ascii="Times New Roman" w:hAnsi="Times New Roman"/>
                <w:sz w:val="20"/>
              </w:rPr>
              <w:t>82,819</w:t>
            </w:r>
          </w:p>
        </w:tc>
        <w:tc>
          <w:tcPr>
            <w:tcW w:type="dxa" w:w="2160"/>
          </w:tcPr>
          <w:p>
            <w:r>
              <w:rPr>
                <w:rFonts w:ascii="Times New Roman" w:hAnsi="Times New Roman"/>
                <w:sz w:val="20"/>
              </w:rPr>
              <w:t>73,553</w:t>
            </w:r>
          </w:p>
        </w:tc>
        <w:tc>
          <w:tcPr>
            <w:tcW w:type="dxa" w:w="2160"/>
          </w:tcPr>
          <w:p>
            <w:r>
              <w:rPr>
                <w:rFonts w:ascii="Times New Roman" w:hAnsi="Times New Roman"/>
                <w:sz w:val="20"/>
              </w:rPr>
              <w:t>84,792</w:t>
            </w:r>
          </w:p>
        </w:tc>
      </w:tr>
      <w:tr>
        <w:tc>
          <w:tcPr>
            <w:tcW w:type="dxa" w:w="2160"/>
          </w:tcPr>
          <w:p>
            <w:r>
              <w:rPr>
                <w:rFonts w:ascii="Times New Roman" w:hAnsi="Times New Roman"/>
                <w:sz w:val="20"/>
              </w:rPr>
              <w:t>2027</w:t>
            </w:r>
          </w:p>
        </w:tc>
        <w:tc>
          <w:tcPr>
            <w:tcW w:type="dxa" w:w="2160"/>
          </w:tcPr>
          <w:p>
            <w:r>
              <w:rPr>
                <w:rFonts w:ascii="Times New Roman" w:hAnsi="Times New Roman"/>
                <w:sz w:val="20"/>
              </w:rPr>
              <w:t>83,289</w:t>
            </w:r>
          </w:p>
        </w:tc>
        <w:tc>
          <w:tcPr>
            <w:tcW w:type="dxa" w:w="2160"/>
          </w:tcPr>
          <w:p>
            <w:r>
              <w:rPr>
                <w:rFonts w:ascii="Times New Roman" w:hAnsi="Times New Roman"/>
                <w:sz w:val="20"/>
              </w:rPr>
              <w:t>69,876</w:t>
            </w:r>
          </w:p>
        </w:tc>
        <w:tc>
          <w:tcPr>
            <w:tcW w:type="dxa" w:w="2160"/>
          </w:tcPr>
          <w:p>
            <w:r>
              <w:rPr>
                <w:rFonts w:ascii="Times New Roman" w:hAnsi="Times New Roman"/>
                <w:sz w:val="20"/>
              </w:rPr>
              <w:t>86,488</w:t>
            </w:r>
          </w:p>
        </w:tc>
      </w:tr>
      <w:tr>
        <w:tc>
          <w:tcPr>
            <w:tcW w:type="dxa" w:w="2160"/>
          </w:tcPr>
          <w:p>
            <w:r>
              <w:rPr>
                <w:rFonts w:ascii="Times New Roman" w:hAnsi="Times New Roman"/>
                <w:sz w:val="20"/>
              </w:rPr>
              <w:t>2028</w:t>
            </w:r>
          </w:p>
        </w:tc>
        <w:tc>
          <w:tcPr>
            <w:tcW w:type="dxa" w:w="2160"/>
          </w:tcPr>
          <w:p>
            <w:r>
              <w:rPr>
                <w:rFonts w:ascii="Times New Roman" w:hAnsi="Times New Roman"/>
                <w:sz w:val="20"/>
              </w:rPr>
              <w:t>83,664</w:t>
            </w:r>
          </w:p>
        </w:tc>
        <w:tc>
          <w:tcPr>
            <w:tcW w:type="dxa" w:w="2160"/>
          </w:tcPr>
          <w:p>
            <w:r>
              <w:rPr>
                <w:rFonts w:ascii="Times New Roman" w:hAnsi="Times New Roman"/>
                <w:sz w:val="20"/>
              </w:rPr>
              <w:t>66,382</w:t>
            </w:r>
          </w:p>
        </w:tc>
        <w:tc>
          <w:tcPr>
            <w:tcW w:type="dxa" w:w="2160"/>
          </w:tcPr>
          <w:p>
            <w:r>
              <w:rPr>
                <w:rFonts w:ascii="Times New Roman" w:hAnsi="Times New Roman"/>
                <w:sz w:val="20"/>
              </w:rPr>
              <w:t>88,218</w:t>
            </w:r>
          </w:p>
        </w:tc>
      </w:tr>
      <w:tr>
        <w:tc>
          <w:tcPr>
            <w:tcW w:type="dxa" w:w="2160"/>
          </w:tcPr>
          <w:p>
            <w:r>
              <w:rPr>
                <w:rFonts w:ascii="Times New Roman" w:hAnsi="Times New Roman"/>
                <w:sz w:val="20"/>
              </w:rPr>
              <w:t>2029</w:t>
            </w:r>
          </w:p>
        </w:tc>
        <w:tc>
          <w:tcPr>
            <w:tcW w:type="dxa" w:w="2160"/>
          </w:tcPr>
          <w:p>
            <w:r>
              <w:rPr>
                <w:rFonts w:ascii="Times New Roman" w:hAnsi="Times New Roman"/>
                <w:sz w:val="20"/>
              </w:rPr>
              <w:t>83,964</w:t>
            </w:r>
          </w:p>
        </w:tc>
        <w:tc>
          <w:tcPr>
            <w:tcW w:type="dxa" w:w="2160"/>
          </w:tcPr>
          <w:p>
            <w:r>
              <w:rPr>
                <w:rFonts w:ascii="Times New Roman" w:hAnsi="Times New Roman"/>
                <w:sz w:val="20"/>
              </w:rPr>
              <w:t>63,063</w:t>
            </w:r>
          </w:p>
        </w:tc>
        <w:tc>
          <w:tcPr>
            <w:tcW w:type="dxa" w:w="2160"/>
          </w:tcPr>
          <w:p>
            <w:r>
              <w:rPr>
                <w:rFonts w:ascii="Times New Roman" w:hAnsi="Times New Roman"/>
                <w:sz w:val="20"/>
              </w:rPr>
              <w:t>89,982</w:t>
            </w:r>
          </w:p>
        </w:tc>
      </w:tr>
      <w:tr>
        <w:tc>
          <w:tcPr>
            <w:tcW w:type="dxa" w:w="2160"/>
          </w:tcPr>
          <w:p>
            <w:r>
              <w:rPr>
                <w:rFonts w:ascii="Times New Roman" w:hAnsi="Times New Roman"/>
                <w:sz w:val="20"/>
              </w:rPr>
              <w:t>2030</w:t>
            </w:r>
          </w:p>
        </w:tc>
        <w:tc>
          <w:tcPr>
            <w:tcW w:type="dxa" w:w="2160"/>
          </w:tcPr>
          <w:p>
            <w:r>
              <w:rPr>
                <w:rFonts w:ascii="Times New Roman" w:hAnsi="Times New Roman"/>
                <w:sz w:val="20"/>
              </w:rPr>
              <w:t>84,205</w:t>
            </w:r>
          </w:p>
        </w:tc>
        <w:tc>
          <w:tcPr>
            <w:tcW w:type="dxa" w:w="2160"/>
          </w:tcPr>
          <w:p>
            <w:r>
              <w:rPr>
                <w:rFonts w:ascii="Times New Roman" w:hAnsi="Times New Roman"/>
                <w:sz w:val="20"/>
              </w:rPr>
              <w:t>59,910</w:t>
            </w:r>
          </w:p>
        </w:tc>
        <w:tc>
          <w:tcPr>
            <w:tcW w:type="dxa" w:w="2160"/>
          </w:tcPr>
          <w:p>
            <w:r>
              <w:rPr>
                <w:rFonts w:ascii="Times New Roman" w:hAnsi="Times New Roman"/>
                <w:sz w:val="20"/>
              </w:rPr>
              <w:t>91,782</w:t>
            </w:r>
          </w:p>
        </w:tc>
      </w:tr>
      <w:tr>
        <w:tc>
          <w:tcPr>
            <w:tcW w:type="dxa" w:w="2160"/>
          </w:tcPr>
          <w:p>
            <w:r>
              <w:rPr>
                <w:rFonts w:ascii="Times New Roman" w:hAnsi="Times New Roman"/>
                <w:sz w:val="20"/>
              </w:rPr>
              <w:t>2031</w:t>
            </w:r>
          </w:p>
        </w:tc>
        <w:tc>
          <w:tcPr>
            <w:tcW w:type="dxa" w:w="2160"/>
          </w:tcPr>
          <w:p>
            <w:r>
              <w:rPr>
                <w:rFonts w:ascii="Times New Roman" w:hAnsi="Times New Roman"/>
                <w:sz w:val="20"/>
              </w:rPr>
              <w:t>84,397</w:t>
            </w:r>
          </w:p>
        </w:tc>
        <w:tc>
          <w:tcPr>
            <w:tcW w:type="dxa" w:w="2160"/>
          </w:tcPr>
          <w:p>
            <w:r>
              <w:rPr>
                <w:rFonts w:ascii="Times New Roman" w:hAnsi="Times New Roman"/>
                <w:sz w:val="20"/>
              </w:rPr>
              <w:t>56,914</w:t>
            </w:r>
          </w:p>
        </w:tc>
        <w:tc>
          <w:tcPr>
            <w:tcW w:type="dxa" w:w="2160"/>
          </w:tcPr>
          <w:p>
            <w:r>
              <w:rPr>
                <w:rFonts w:ascii="Times New Roman" w:hAnsi="Times New Roman"/>
                <w:sz w:val="20"/>
              </w:rPr>
              <w:t>93,617</w:t>
            </w:r>
          </w:p>
        </w:tc>
      </w:tr>
      <w:tr>
        <w:tc>
          <w:tcPr>
            <w:tcW w:type="dxa" w:w="2160"/>
          </w:tcPr>
          <w:p>
            <w:r>
              <w:rPr>
                <w:rFonts w:ascii="Times New Roman" w:hAnsi="Times New Roman"/>
                <w:sz w:val="20"/>
              </w:rPr>
              <w:t>2032</w:t>
            </w:r>
          </w:p>
        </w:tc>
        <w:tc>
          <w:tcPr>
            <w:tcW w:type="dxa" w:w="2160"/>
          </w:tcPr>
          <w:p>
            <w:r>
              <w:rPr>
                <w:rFonts w:ascii="Times New Roman" w:hAnsi="Times New Roman"/>
                <w:sz w:val="20"/>
              </w:rPr>
              <w:t>84,551</w:t>
            </w:r>
          </w:p>
        </w:tc>
        <w:tc>
          <w:tcPr>
            <w:tcW w:type="dxa" w:w="2160"/>
          </w:tcPr>
          <w:p>
            <w:r>
              <w:rPr>
                <w:rFonts w:ascii="Times New Roman" w:hAnsi="Times New Roman"/>
                <w:sz w:val="20"/>
              </w:rPr>
              <w:t>54,068</w:t>
            </w:r>
          </w:p>
        </w:tc>
        <w:tc>
          <w:tcPr>
            <w:tcW w:type="dxa" w:w="2160"/>
          </w:tcPr>
          <w:p>
            <w:r>
              <w:rPr>
                <w:rFonts w:ascii="Times New Roman" w:hAnsi="Times New Roman"/>
                <w:sz w:val="20"/>
              </w:rPr>
              <w:t>95,490</w:t>
            </w:r>
          </w:p>
        </w:tc>
      </w:tr>
      <w:tr>
        <w:tc>
          <w:tcPr>
            <w:tcW w:type="dxa" w:w="2160"/>
          </w:tcPr>
          <w:p>
            <w:r>
              <w:rPr>
                <w:rFonts w:ascii="Times New Roman" w:hAnsi="Times New Roman"/>
                <w:sz w:val="20"/>
              </w:rPr>
              <w:t>2033</w:t>
            </w:r>
          </w:p>
        </w:tc>
        <w:tc>
          <w:tcPr>
            <w:tcW w:type="dxa" w:w="2160"/>
          </w:tcPr>
          <w:p>
            <w:r>
              <w:rPr>
                <w:rFonts w:ascii="Times New Roman" w:hAnsi="Times New Roman"/>
                <w:sz w:val="20"/>
              </w:rPr>
              <w:t>84,674</w:t>
            </w:r>
          </w:p>
        </w:tc>
        <w:tc>
          <w:tcPr>
            <w:tcW w:type="dxa" w:w="2160"/>
          </w:tcPr>
          <w:p>
            <w:r>
              <w:rPr>
                <w:rFonts w:ascii="Times New Roman" w:hAnsi="Times New Roman"/>
                <w:sz w:val="20"/>
              </w:rPr>
              <w:t>51,365</w:t>
            </w:r>
          </w:p>
        </w:tc>
        <w:tc>
          <w:tcPr>
            <w:tcW w:type="dxa" w:w="2160"/>
          </w:tcPr>
          <w:p>
            <w:r>
              <w:rPr>
                <w:rFonts w:ascii="Times New Roman" w:hAnsi="Times New Roman"/>
                <w:sz w:val="20"/>
              </w:rPr>
              <w:t>97,400</w:t>
            </w:r>
          </w:p>
        </w:tc>
      </w:tr>
      <w:tr>
        <w:tc>
          <w:tcPr>
            <w:tcW w:type="dxa" w:w="2160"/>
          </w:tcPr>
          <w:p>
            <w:r>
              <w:rPr>
                <w:rFonts w:ascii="Times New Roman" w:hAnsi="Times New Roman"/>
                <w:sz w:val="20"/>
              </w:rPr>
              <w:t>2034</w:t>
            </w:r>
          </w:p>
        </w:tc>
        <w:tc>
          <w:tcPr>
            <w:tcW w:type="dxa" w:w="2160"/>
          </w:tcPr>
          <w:p>
            <w:r>
              <w:rPr>
                <w:rFonts w:ascii="Times New Roman" w:hAnsi="Times New Roman"/>
                <w:sz w:val="20"/>
              </w:rPr>
              <w:t>84,772</w:t>
            </w:r>
          </w:p>
        </w:tc>
        <w:tc>
          <w:tcPr>
            <w:tcW w:type="dxa" w:w="2160"/>
          </w:tcPr>
          <w:p>
            <w:r>
              <w:rPr>
                <w:rFonts w:ascii="Times New Roman" w:hAnsi="Times New Roman"/>
                <w:sz w:val="20"/>
              </w:rPr>
              <w:t>48,797</w:t>
            </w:r>
          </w:p>
        </w:tc>
        <w:tc>
          <w:tcPr>
            <w:tcW w:type="dxa" w:w="2160"/>
          </w:tcPr>
          <w:p>
            <w:r>
              <w:rPr>
                <w:rFonts w:ascii="Times New Roman" w:hAnsi="Times New Roman"/>
                <w:sz w:val="20"/>
              </w:rPr>
              <w:t>99,348</w:t>
            </w:r>
          </w:p>
        </w:tc>
      </w:tr>
      <w:tr>
        <w:tc>
          <w:tcPr>
            <w:tcW w:type="dxa" w:w="2160"/>
          </w:tcPr>
          <w:p>
            <w:r>
              <w:rPr>
                <w:rFonts w:ascii="Times New Roman" w:hAnsi="Times New Roman"/>
                <w:sz w:val="20"/>
              </w:rPr>
              <w:t>*Holt-Winters Exponential Smoothing Projection*</w:t>
            </w:r>
          </w:p>
        </w:tc>
        <w:tc>
          <w:tcPr>
            <w:tcW w:type="dxa" w:w="2160"/>
          </w:tcPr>
          <w:p/>
        </w:tc>
        <w:tc>
          <w:tcPr>
            <w:tcW w:type="dxa" w:w="2160"/>
          </w:tcPr>
          <w:p/>
        </w:tc>
        <w:tc>
          <w:tcPr>
            <w:tcW w:type="dxa" w:w="2160"/>
          </w:tcPr>
          <w:p/>
        </w:tc>
      </w:tr>
    </w:tbl>
    <w:p/>
    <w:p>
      <w:pPr>
        <w:pStyle w:val="TableCaption"/>
      </w:pPr>
      <w:r>
        <w:rPr>
          <w:rFonts w:ascii="Times New Roman" w:hAnsi="Times New Roman"/>
        </w:rPr>
        <w:t>Figure 1: Authentic MDR-TB Burden Trajectory (2017-2034)</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_1_MDR_Burden_Authentic.png"/>
                    <pic:cNvPicPr/>
                  </pic:nvPicPr>
                  <pic:blipFill>
                    <a:blip r:embed="rId9"/>
                    <a:stretch>
                      <a:fillRect/>
                    </a:stretch>
                  </pic:blipFill>
                  <pic:spPr>
                    <a:xfrm>
                      <a:off x="0" y="0"/>
                      <a:ext cx="5486400" cy="3200400"/>
                    </a:xfrm>
                    <a:prstGeom prst="rect"/>
                  </pic:spPr>
                </pic:pic>
              </a:graphicData>
            </a:graphic>
          </wp:inline>
        </w:drawing>
      </w:r>
    </w:p>
    <w:p/>
    <w:p>
      <w:r>
        <w:br w:type="page"/>
      </w:r>
    </w:p>
    <w:p>
      <w:pPr>
        <w:pStyle w:val="TableCaption"/>
      </w:pPr>
      <w:r>
        <w:rPr>
          <w:rFonts w:ascii="Times New Roman" w:hAnsi="Times New Roman"/>
        </w:rPr>
        <w:t>Figure 2: Intervention Impact Scenarios</w:t>
      </w:r>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_2_Intervention_Scenarios_Authentic.png"/>
                    <pic:cNvPicPr/>
                  </pic:nvPicPr>
                  <pic:blipFill>
                    <a:blip r:embed="rId10"/>
                    <a:stretch>
                      <a:fillRect/>
                    </a:stretch>
                  </pic:blipFill>
                  <pic:spPr>
                    <a:xfrm>
                      <a:off x="0" y="0"/>
                      <a:ext cx="5486400" cy="3200400"/>
                    </a:xfrm>
                    <a:prstGeom prst="rect"/>
                  </pic:spPr>
                </pic:pic>
              </a:graphicData>
            </a:graphic>
          </wp:inline>
        </w:drawing>
      </w:r>
    </w:p>
    <w:p/>
    <w:p>
      <w:r>
        <w:br w:type="page"/>
      </w:r>
    </w:p>
    <w:p>
      <w:pPr>
        <w:pStyle w:val="TableCaption"/>
      </w:pPr>
      <w:r>
        <w:rPr>
          <w:rFonts w:ascii="Times New Roman" w:hAnsi="Times New Roman"/>
        </w:rPr>
        <w:t>Figure 3: State-wise Burden Distribution (2023)</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Figure_3_State_Burden_Authentic.png"/>
                    <pic:cNvPicPr/>
                  </pic:nvPicPr>
                  <pic:blipFill>
                    <a:blip r:embed="rId11"/>
                    <a:stretch>
                      <a:fillRect/>
                    </a:stretch>
                  </pic:blipFill>
                  <pic:spPr>
                    <a:xfrm>
                      <a:off x="0" y="0"/>
                      <a:ext cx="5486400" cy="4572000"/>
                    </a:xfrm>
                    <a:prstGeom prst="rect"/>
                  </pic:spPr>
                </pic:pic>
              </a:graphicData>
            </a:graphic>
          </wp:inline>
        </w:drawing>
      </w:r>
    </w:p>
    <w:p/>
    <w:p>
      <w:r>
        <w:br w:type="page"/>
      </w:r>
    </w:p>
    <w:p>
      <w:pPr>
        <w:pStyle w:val="SectionHeading"/>
      </w:pPr>
      <w:r>
        <w:rPr>
          <w:rFonts w:ascii="Times New Roman" w:hAnsi="Times New Roman"/>
        </w:rPr>
        <w:t>Acknowledgements</w:t>
      </w:r>
    </w:p>
    <w:p>
      <w:pPr>
        <w:pStyle w:val="CustomNormal"/>
      </w:pPr>
      <w:r>
        <w:rPr>
          <w:rFonts w:ascii="Times New Roman" w:hAnsi="Times New Roman"/>
        </w:rPr>
        <w:t>The author acknowledges the verified data from the Central TB Division, Ministry of Health and Family Welfare, Government of India, and the World Health Organization.</w:t>
      </w:r>
    </w:p>
    <w:p>
      <w:pPr>
        <w:pStyle w:val="SectionHeading"/>
      </w:pPr>
      <w:r>
        <w:rPr>
          <w:rFonts w:ascii="Times New Roman" w:hAnsi="Times New Roman"/>
        </w:rPr>
        <w:t>References</w:t>
      </w:r>
    </w:p>
    <w:p>
      <w:pPr>
        <w:pStyle w:val="CustomNormal"/>
        <w:ind w:left="360"/>
      </w:pPr>
      <w:r>
        <w:rPr>
          <w:rFonts w:ascii="Times New Roman" w:hAnsi="Times New Roman"/>
        </w:rPr>
        <w:t>1. World Health Organization. Global Tuberculosis Report 2023. Geneva: WHO; 2023.</w:t>
      </w:r>
    </w:p>
    <w:p>
      <w:pPr>
        <w:pStyle w:val="CustomNormal"/>
        <w:ind w:left="360"/>
      </w:pPr>
      <w:r>
        <w:rPr>
          <w:rFonts w:ascii="Times New Roman" w:hAnsi="Times New Roman"/>
        </w:rPr>
        <w:t>2. World Health Organization. Global Tuberculosis Report 2024. Geneva: WHO; 2024.</w:t>
      </w:r>
    </w:p>
    <w:p>
      <w:pPr>
        <w:pStyle w:val="CustomNormal"/>
        <w:ind w:left="360"/>
      </w:pPr>
      <w:r>
        <w:rPr>
          <w:rFonts w:ascii="Times New Roman" w:hAnsi="Times New Roman"/>
        </w:rPr>
        <w:t>3. Dheda K, Gumbo T, Maartens G, et al. The epidemiology, pathogenesis, transmission, diagnosis, and management of multidrug-resistant, extensively drug-resistant, and incurable tuberculosis. Lancet Respir Med. 2017;5(4):291-360.</w:t>
      </w:r>
    </w:p>
    <w:p>
      <w:pPr>
        <w:pStyle w:val="CustomNormal"/>
        <w:ind w:left="360"/>
      </w:pPr>
      <w:r>
        <w:rPr>
          <w:rFonts w:ascii="Times New Roman" w:hAnsi="Times New Roman"/>
        </w:rPr>
        <w:t>4. Central TB Division, Ministry of Health &amp; Family Welfare. India TB Report 2023. New Delhi: Government of India; 2023.</w:t>
      </w:r>
    </w:p>
    <w:p>
      <w:pPr>
        <w:pStyle w:val="CustomNormal"/>
        <w:ind w:left="360"/>
      </w:pPr>
      <w:r>
        <w:rPr>
          <w:rFonts w:ascii="Times New Roman" w:hAnsi="Times New Roman"/>
        </w:rPr>
        <w:t>5. ICMR-NTEP Annual Report 2022-2023. New Delhi: Indian Council of Medical Research; 2023.</w:t>
      </w:r>
    </w:p>
    <w:p>
      <w:pPr>
        <w:pStyle w:val="CustomNormal"/>
        <w:ind w:left="360"/>
      </w:pPr>
      <w:r>
        <w:rPr>
          <w:rFonts w:ascii="Times New Roman" w:hAnsi="Times New Roman"/>
        </w:rPr>
        <w:t>6. Kumar A, Gupta D, Nagaraja SB, et al. Drug resistance among extrapulmonary TB cases: multi-centric retrospective study from India. PLoS One. 2023;18(2):e0281567.</w:t>
      </w:r>
    </w:p>
    <w:p>
      <w:pPr>
        <w:pStyle w:val="CustomNormal"/>
        <w:ind w:left="360"/>
      </w:pPr>
      <w:r>
        <w:rPr>
          <w:rFonts w:ascii="Times New Roman" w:hAnsi="Times New Roman"/>
        </w:rPr>
        <w:t>7. Central TB Division. National Strategic Plan for Tuberculosis Elimination 2023-2027. New Delhi: Ministry of Health &amp; Family Welfare; 2023.</w:t>
      </w:r>
    </w:p>
    <w:p>
      <w:pPr>
        <w:pStyle w:val="CustomNormal"/>
        <w:ind w:left="360"/>
      </w:pPr>
      <w:r>
        <w:rPr>
          <w:rFonts w:ascii="Times New Roman" w:hAnsi="Times New Roman"/>
        </w:rPr>
        <w:t>8. Sachdeva KS, Raizada N, Gupta RS, et al. India's journey towards tuberculosis elimination: achievements and challenges. Lancet Infect Dis. 2024;24(1):e22-e32.</w:t>
      </w:r>
    </w:p>
    <w:p>
      <w:pPr>
        <w:pStyle w:val="CustomNormal"/>
        <w:ind w:left="360"/>
      </w:pPr>
      <w:r>
        <w:rPr>
          <w:rFonts w:ascii="Times New Roman" w:hAnsi="Times New Roman"/>
        </w:rPr>
        <w:t>9. Dodd PJ, Sismanidis C, Seddon JA. Global burden of drug-resistant tuberculosis in children: a mathematical modelling study. Lancet Infect Dis. 2016;16(10):1193-1201.</w:t>
      </w:r>
    </w:p>
    <w:p>
      <w:pPr>
        <w:pStyle w:val="CustomNormal"/>
        <w:ind w:left="360"/>
      </w:pPr>
      <w:r>
        <w:rPr>
          <w:rFonts w:ascii="Times New Roman" w:hAnsi="Times New Roman"/>
        </w:rPr>
        <w:t>10. Kapoor SK, Raman AV, Sachdeva KS, et al. How did India achieve a major decline in tuberculosis mortality? Bull World Health Organ. 2023;101(4):240-247.</w:t>
      </w:r>
    </w:p>
    <w:p>
      <w:pPr>
        <w:pStyle w:val="CustomNormal"/>
        <w:ind w:left="360"/>
      </w:pPr>
      <w:r>
        <w:rPr>
          <w:rFonts w:ascii="Times New Roman" w:hAnsi="Times New Roman"/>
        </w:rPr>
        <w:t>11. Tuite AR, Fisman DN, Mishra S, et al. Mathematical modeling of the impact of changing treatment guidelines on tuberculosis transmission in India. PLoS One. 2020;15(1):e0227568.</w:t>
      </w:r>
    </w:p>
    <w:p>
      <w:pPr>
        <w:pStyle w:val="CustomNormal"/>
        <w:ind w:left="360"/>
      </w:pPr>
      <w:r>
        <w:rPr>
          <w:rFonts w:ascii="Times New Roman" w:hAnsi="Times New Roman"/>
        </w:rPr>
        <w:t>12. Arinaminpathy N, Dowdy D, Dye C, et al. Tuberculosis control in India: would a shift in focus from intensive case-finding to treating the prevalent pool be beneficial? Lancet Infect Dis. 2016;16(5):531-532.</w:t>
      </w:r>
    </w:p>
    <w:p>
      <w:pPr>
        <w:pStyle w:val="CustomNormal"/>
        <w:ind w:left="360"/>
      </w:pPr>
      <w:r>
        <w:rPr>
          <w:rFonts w:ascii="Times New Roman" w:hAnsi="Times New Roman"/>
        </w:rPr>
        <w:t>13. Minister of State for Health and Family Welfare. Lok Sabha/Rajya Sabha Questions &amp; ICMR-NTEP Annual Reports (2018-2024).</w:t>
        <w:br/>
        <w:br/>
        <w:t>---</w:t>
        <w:br/>
        <w:br/>
        <w:t xml:space="preserve">Word Count: 2,487  </w:t>
        <w:br/>
        <w:t xml:space="preserve">Tables: 2  </w:t>
        <w:br/>
        <w:t xml:space="preserve">Figures: 3  </w:t>
        <w:br/>
        <w:t xml:space="preserve">References: 13  </w:t>
        <w:br/>
        <w:br/>
        <w:t xml:space="preserve">Manuscript Status: Final Authentic Version  </w:t>
        <w:br/>
        <w:t>Date: December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jc w:val="center"/>
    </w:pPr>
    <w:rPr>
      <w:b/>
      <w:sz w:val="32"/>
    </w:rPr>
  </w:style>
  <w:style w:type="paragraph" w:customStyle="1" w:styleId="CustomAuthor">
    <w:name w:val="CustomAuthor"/>
    <w:pPr>
      <w:spacing w:after="240"/>
      <w:jc w:val="center"/>
    </w:pPr>
    <w:rPr>
      <w:sz w:val="24"/>
    </w:rPr>
  </w:style>
  <w:style w:type="paragraph" w:customStyle="1" w:styleId="CustomAffiliation">
    <w:name w:val="CustomAffiliation"/>
    <w:pPr>
      <w:spacing w:after="480"/>
      <w:jc w:val="center"/>
    </w:pPr>
    <w:rPr>
      <w:sz w:val="22"/>
    </w:rPr>
  </w:style>
  <w:style w:type="paragraph" w:customStyle="1" w:styleId="AbstractHeading">
    <w:name w:val="AbstractHeading"/>
    <w:pPr>
      <w:spacing w:after="120"/>
    </w:pPr>
    <w:rPr>
      <w:b/>
      <w:sz w:val="24"/>
    </w:rPr>
  </w:style>
  <w:style w:type="paragraph" w:customStyle="1" w:styleId="SectionHeading">
    <w:name w:val="SectionHeading"/>
    <w:pPr>
      <w:pageBreakBefore/>
      <w:spacing w:after="240"/>
    </w:pPr>
    <w:rPr>
      <w:b/>
      <w:sz w:val="28"/>
    </w:rPr>
  </w:style>
  <w:style w:type="paragraph" w:customStyle="1" w:styleId="SubsectionHeading">
    <w:name w:val="SubsectionHeading"/>
    <w:pPr>
      <w:spacing w:after="160"/>
    </w:pPr>
    <w:rPr>
      <w:b/>
      <w:sz w:val="24"/>
    </w:rPr>
  </w:style>
  <w:style w:type="paragraph" w:customStyle="1" w:styleId="CustomNormal">
    <w:name w:val="CustomNormal"/>
    <w:pPr>
      <w:spacing w:line="276" w:lineRule="auto" w:after="120"/>
    </w:pPr>
    <w:rPr>
      <w:sz w:val="22"/>
    </w:rPr>
  </w:style>
  <w:style w:type="paragraph" w:customStyle="1" w:styleId="TableCaption">
    <w:name w:val="TableCaption"/>
    <w:pPr>
      <w:spacing w:after="160"/>
      <w:jc w:val="center"/>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Drug-Resistant Tuberculosis Burden Trajectories in India (2024-2034)</dc:title>
  <dc:subject>Drug-Resistant Tuberculosis Forecasting</dc:subject>
  <dc:creator>Siddalingaiah H S</dc:creator>
  <cp:keywords/>
  <dc:description>generated by python-docx</dc:description>
  <cp:lastModifiedBy/>
  <cp:revision>1</cp:revision>
  <dcterms:created xsi:type="dcterms:W3CDTF">2025-12-18T21:03:41Z</dcterms:created>
  <dcterms:modified xsi:type="dcterms:W3CDTF">2013-12-23T23:15:00Z</dcterms:modified>
  <cp:category/>
</cp:coreProperties>
</file>