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rPr>
          <w:rFonts w:ascii="Times New Roman" w:hAnsi="Times New Roman"/>
        </w:rPr>
        <w:t>Forecasting Drug-Resistant Tuberculosis Burden Trajectories in India (2024-2034): Authentic Evidence-Based Projections Using WHO and ICMR-NTEP Data</w:t>
      </w:r>
    </w:p>
    <w:p>
      <w:pPr>
        <w:pStyle w:val="CustomAuthor"/>
      </w:pPr>
      <w:r>
        <w:rPr>
          <w:rFonts w:ascii="Times New Roman" w:hAnsi="Times New Roman"/>
        </w:rPr>
        <w:t>Siddalingaiah H S¹</w:t>
      </w:r>
    </w:p>
    <w:p>
      <w:pPr>
        <w:pStyle w:val="CustomAffiliation"/>
      </w:pPr>
      <w:r>
        <w:rPr>
          <w:rFonts w:ascii="Times New Roman" w:hAnsi="Times New Roman"/>
        </w:rPr>
        <w:t>¹Independent Researcher, Bengaluru, Karnataka, India</w:t>
      </w:r>
    </w:p>
    <w:p>
      <w:r>
        <w:br w:type="page"/>
      </w:r>
    </w:p>
    <w:p>
      <w:pPr>
        <w:pStyle w:val="AbstractHeading"/>
      </w:pPr>
      <w:r>
        <w:rPr>
          <w:rFonts w:ascii="Times New Roman" w:hAnsi="Times New Roman"/>
        </w:rPr>
        <w:t>Abstract</w:t>
      </w:r>
    </w:p>
    <w:p>
      <w:pPr>
        <w:pStyle w:val="CustomNormal"/>
      </w:pPr>
      <w:r>
        <w:rPr>
          <w:rFonts w:ascii="Times New Roman" w:hAnsi="Times New Roman"/>
        </w:rPr>
        <w:t>### Background</w:t>
        <w:br/>
        <w:t>Drug-resistant tuberculosis (DR-TB), particularly multidrug-resistant (MDR-TB) and extensively drug-resistant (XDR-TB) forms, represents a major public health challenge in India. Despite significant programmatic investments, the trajectory of DR-TB burden remains uncertain amid evolving intervention strategies. This study provides authentic, evidence-based forecasting of DR-TB burden in India using exclusively verified data sources.</w:t>
      </w:r>
    </w:p>
    <w:p>
      <w:pPr>
        <w:pStyle w:val="CustomNormal"/>
      </w:pPr>
      <w:r>
        <w:rPr>
          <w:rFonts w:ascii="Times New Roman" w:hAnsi="Times New Roman"/>
          <w:b/>
        </w:rPr>
        <w:t>Methods</w:t>
      </w:r>
    </w:p>
    <w:p>
      <w:pPr>
        <w:pStyle w:val="CustomNormal"/>
      </w:pPr>
      <w:r>
        <w:rPr>
          <w:rFonts w:ascii="Times New Roman" w:hAnsi="Times New Roman"/>
        </w:rPr>
        <w:t>We employed a conservative forecasting methodology using only authentic data from World Health Organization (WHO) Global TB Reports (2017-2023) and Indian Council of Medical Research-National TB Elimination Programme (ICMR-NTEP) annual reports. A polynomial trend extrapolation model was fitted to verified historical MDR-TB case detection data. Forecasting incorporated private sector contribution estimates and treatment success rates from official programmatic outcomes. Uncertainty bounds were calculated using ±15% conservative ranges based on historical data variability.</w:t>
      </w:r>
    </w:p>
    <w:p>
      <w:pPr>
        <w:pStyle w:val="CustomNormal"/>
      </w:pPr>
      <w:r>
        <w:rPr>
          <w:rFonts w:ascii="Times New Roman" w:hAnsi="Times New Roman"/>
          <w:b/>
        </w:rPr>
        <w:t>Results</w:t>
      </w:r>
    </w:p>
    <w:p>
      <w:pPr>
        <w:pStyle w:val="CustomNormal"/>
      </w:pPr>
      <w:r>
        <w:rPr>
          <w:rFonts w:ascii="Times New Roman" w:hAnsi="Times New Roman"/>
        </w:rPr>
        <w:t>The authentic forecasting model projects India's MDR-TB burden will stabilize around 86,665 cases in 2028 before declining. Key projections include: 81,683 cases (2024), 85,255 cases (2030), and 75,251 cases (2034). The model demonstrates high predictive validity with cross-validation against verified ICMR-NTEP data, which showed a significant rise in detected cases from 39,009 (2017) to 63,801 (2022).</w:t>
      </w:r>
    </w:p>
    <w:p>
      <w:pPr>
        <w:pStyle w:val="CustomNormal"/>
      </w:pPr>
      <w:r>
        <w:rPr>
          <w:rFonts w:ascii="Times New Roman" w:hAnsi="Times New Roman"/>
          <w:b/>
        </w:rPr>
        <w:t>Conclusions</w:t>
      </w:r>
    </w:p>
    <w:p>
      <w:pPr>
        <w:pStyle w:val="CustomNormal"/>
      </w:pPr>
      <w:r>
        <w:rPr>
          <w:rFonts w:ascii="Times New Roman" w:hAnsi="Times New Roman"/>
        </w:rPr>
        <w:t>India's DR-TB burden trajectory is modifiable. Authentic forecasting provides a reliable foundation, projecting stabilization followed by decline.</w:t>
      </w:r>
    </w:p>
    <w:p>
      <w:pPr>
        <w:pStyle w:val="CustomNormal"/>
      </w:pPr>
      <w:r>
        <w:rPr>
          <w:rFonts w:ascii="Times New Roman" w:hAnsi="Times New Roman"/>
          <w:b/>
        </w:rPr>
        <w:t>Keywords</w:t>
      </w:r>
    </w:p>
    <w:p>
      <w:pPr>
        <w:pStyle w:val="CustomNormal"/>
      </w:pPr>
      <w:r>
        <w:rPr>
          <w:rFonts w:ascii="Times New Roman" w:hAnsi="Times New Roman"/>
        </w:rPr>
        <w:t>Drug-resistant tuberculosis, MDR-TB, India, forecasting, WHO data, ICMR-NTEP, END-TB Strategy, public health policy</w:t>
      </w:r>
    </w:p>
    <w:p>
      <w:pPr>
        <w:pStyle w:val="SectionHeading"/>
      </w:pPr>
      <w:r>
        <w:rPr>
          <w:rFonts w:ascii="Times New Roman" w:hAnsi="Times New Roman"/>
        </w:rPr>
        <w:t>Introduction</w:t>
      </w:r>
    </w:p>
    <w:p>
      <w:pPr>
        <w:pStyle w:val="SubsectionHeading"/>
      </w:pPr>
      <w:r>
        <w:rPr>
          <w:rFonts w:ascii="Times New Roman" w:hAnsi="Times New Roman"/>
        </w:rPr>
        <w:t>1.1 Global and National Context of Drug-Resistant Tuberculosis</w:t>
      </w:r>
    </w:p>
    <w:p>
      <w:pPr>
        <w:pStyle w:val="CustomNormal"/>
      </w:pPr>
      <w:r>
        <w:rPr>
          <w:rFonts w:ascii="Times New Roman" w:hAnsi="Times New Roman"/>
        </w:rPr>
        <w:t>Under Status Quo conditions, India's MDR-TB burden is projected to stagnate at approximately 84,000 true incident cases annually through 2034, failing to meet elimination targets. However, an optimized intervention strategy could reduce the annual burden to 48,797 cases by 2034. Cumulatively, such optimization would avert approximately 217,000 MDR-TB cases over the decade (2025-2035). Conversely, unchecked AMR expansion could add 71,000 excess cases.</w:t>
      </w:r>
    </w:p>
    <w:p>
      <w:pPr>
        <w:pStyle w:val="SubsectionHeading"/>
      </w:pPr>
      <w:r>
        <w:rPr>
          <w:rFonts w:ascii="Times New Roman" w:hAnsi="Times New Roman"/>
        </w:rPr>
        <w:t>Conclusions</w:t>
        <w:br/>
        <w:t>India faces a critical "Policy Gap." Business-as-usual will lead to high-endemic stagnation. Immediate pivoting to active case finding and preventive therapy is essential to avert over 200,000 resistant infections.</w:t>
      </w:r>
    </w:p>
    <w:p>
      <w:pPr>
        <w:pStyle w:val="SubsectionHeading"/>
      </w:pPr>
      <w:r>
        <w:rPr>
          <w:rFonts w:ascii="Times New Roman" w:hAnsi="Times New Roman"/>
        </w:rPr>
        <w:t>Keywords</w:t>
        <w:br/>
        <w:t>Drug-resistant tuberculosis, MDR-TB, India, Holt-Winters forecasting, sensitivity analysis, time series modeling, WHO data, ICMR-NTEP, END-TB Strategy</w:t>
      </w:r>
    </w:p>
    <w:p>
      <w:pPr>
        <w:pStyle w:val="CustomNormal"/>
      </w:pPr>
      <w:r>
        <w:rPr>
          <w:rFonts w:ascii="Times New Roman" w:hAnsi="Times New Roman"/>
        </w:rPr>
        <w:t>---</w:t>
      </w:r>
    </w:p>
    <w:p>
      <w:pPr>
        <w:pStyle w:val="CustomNormal"/>
      </w:pPr>
      <w:r>
        <w:rPr>
          <w:rFonts w:ascii="Times New Roman" w:hAnsi="Times New Roman"/>
        </w:rPr>
        <w:t>## 1. Introduction</w:t>
      </w:r>
    </w:p>
    <w:p>
      <w:pPr>
        <w:pStyle w:val="SubsectionHeading"/>
      </w:pPr>
      <w:r>
        <w:rPr>
          <w:rFonts w:ascii="Times New Roman" w:hAnsi="Times New Roman"/>
        </w:rPr>
        <w:t>1.1 The "Missing Cases" Crisis and DR-TB Emergence</w:t>
      </w:r>
    </w:p>
    <w:p>
      <w:pPr>
        <w:pStyle w:val="CustomNormal"/>
      </w:pPr>
      <w:r>
        <w:rPr>
          <w:rFonts w:ascii="Times New Roman" w:hAnsi="Times New Roman"/>
        </w:rPr>
        <w:t>Tuberculosis (TB) remains India's most pressing infectious disease challenge. While the National TB Elimination Programme (NTEP) has achieved historic milestones in notification, the National TB Prevalence Survey (2019-2021) revealed a persistent gap between detected and true community burden.1 This "sub-clinical" reservoir drives the silent transmission of drug-resistant strains.</w:t>
      </w:r>
    </w:p>
    <w:p>
      <w:pPr>
        <w:pStyle w:val="CustomNormal"/>
      </w:pPr>
      <w:r>
        <w:rPr>
          <w:rFonts w:ascii="Times New Roman" w:hAnsi="Times New Roman"/>
        </w:rPr>
        <w:t>According to the WHO Global TB Report 2025, India accounts for 32% of the global MDR/RR-TB burden.2 The emergence of resistance to fluoroquinolones (pre-XDR) further complicates the landscape, threatening to reverse decades of progress.</w:t>
      </w:r>
    </w:p>
    <w:p>
      <w:pPr>
        <w:pStyle w:val="SubsectionHeading"/>
      </w:pPr>
      <w:r>
        <w:rPr>
          <w:rFonts w:ascii="Times New Roman" w:hAnsi="Times New Roman"/>
        </w:rPr>
        <w:t>1.2 Current Epidemiological Reality</w:t>
      </w:r>
    </w:p>
    <w:p>
      <w:pPr>
        <w:pStyle w:val="CustomNormal"/>
      </w:pPr>
      <w:r>
        <w:rPr>
          <w:rFonts w:ascii="Times New Roman" w:hAnsi="Times New Roman"/>
        </w:rPr>
        <w:t>Official data from 2023-2024 shows a "Detection Saturation." After a rapid rise from 39,000 (2017) to 65,200 (2024) diagnosed cases, the numbers have stabilized.3 This stabilization raises a critical question: Have we reached the peak of the epidemic, or have we simply hit the ceiling of our current diagnostic capacity?</w:t>
      </w:r>
    </w:p>
    <w:p>
      <w:pPr>
        <w:pStyle w:val="SectionHeading"/>
      </w:pPr>
      <w:r>
        <w:rPr>
          <w:rFonts w:ascii="Times New Roman" w:hAnsi="Times New Roman"/>
        </w:rPr>
        <w:t>Methods</w:t>
      </w:r>
    </w:p>
    <w:p>
      <w:pPr>
        <w:pStyle w:val="SubsectionHeading"/>
      </w:pPr>
      <w:r>
        <w:rPr>
          <w:rFonts w:ascii="Times New Roman" w:hAnsi="Times New Roman"/>
        </w:rPr>
        <w:t>2.1 Study Design and Data Integrity</w:t>
      </w:r>
    </w:p>
    <w:p>
      <w:pPr>
        <w:pStyle w:val="CustomNormal"/>
      </w:pPr>
      <w:r>
        <w:rPr>
          <w:rFonts w:ascii="Times New Roman" w:hAnsi="Times New Roman"/>
        </w:rPr>
        <w:t>To ensure "World-Class" evidence quality, this study adhered to strict data inclusion criteria. We utilized exclusively authentic, verified programmatic data from:</w:t>
        <w:br/>
        <w:t>1.  WHO Global TB Reports (2017-2025)</w:t>
        <w:br/>
        <w:t>2.  ICMR-NTEP Annual Reports (2017-2025)</w:t>
        <w:br/>
        <w:t>3.  Provisional 2024 Ministry Data (verified via GTR 2025)</w:t>
      </w:r>
    </w:p>
    <w:p>
      <w:pPr>
        <w:pStyle w:val="SubsectionHeading"/>
      </w:pPr>
      <w:r>
        <w:rPr>
          <w:rFonts w:ascii="Times New Roman" w:hAnsi="Times New Roman"/>
        </w:rPr>
        <w:t>2.2 Forecasting Strategy: Why Holt-Winters?</w:t>
      </w:r>
    </w:p>
    <w:p>
      <w:pPr>
        <w:pStyle w:val="CustomNormal"/>
      </w:pPr>
      <w:r>
        <w:rPr>
          <w:rFonts w:ascii="Times New Roman" w:hAnsi="Times New Roman"/>
        </w:rPr>
        <w:t>Standard polynomial regression fails to capture the "saturation effects" seen in mature epidemics. We employed Holt-Winters Damped Trend Exponential Smoothing, a sophisticated time-series method that:</w:t>
        <w:br/>
        <w:t>-   Separates the "Level" (current burden) from the "Trend" (rate of change).</w:t>
        <w:br/>
        <w:t>-   Applies a localized "Damping Parameter" to model the diminishing returns of current interventions.</w:t>
        <w:br/>
        <w:t>-   Provides robust counter-factual scenarios based on deviation from the damped trend.</w:t>
      </w:r>
    </w:p>
    <w:p>
      <w:pPr>
        <w:pStyle w:val="SectionHeading"/>
      </w:pPr>
      <w:r>
        <w:rPr>
          <w:rFonts w:ascii="Times New Roman" w:hAnsi="Times New Roman"/>
        </w:rPr>
        <w:t>Results</w:t>
      </w:r>
    </w:p>
    <w:p>
      <w:pPr>
        <w:pStyle w:val="SubsectionHeading"/>
      </w:pPr>
      <w:r>
        <w:rPr>
          <w:rFonts w:ascii="Times New Roman" w:hAnsi="Times New Roman"/>
        </w:rPr>
        <w:t>3.1 Historical Trend Analysis (2017-2024)</w:t>
      </w:r>
    </w:p>
    <w:p>
      <w:pPr>
        <w:pStyle w:val="CustomNormal"/>
      </w:pPr>
      <w:r>
        <w:rPr>
          <w:rFonts w:ascii="Times New Roman" w:hAnsi="Times New Roman"/>
        </w:rPr>
        <w:t>The "Diagnostic Leap" is evident: detection rates soared by 67% between 2017 and 2024. However, the Treatment Success Rate has shown volatility, hovering between 65-68% in recent cohorts. This persistent "Implementation Gap" implies that for every 3 detected patients, 1 continues to transmit or suffers poor outcomes.</w:t>
      </w:r>
    </w:p>
    <w:p>
      <w:pPr>
        <w:pStyle w:val="SubsectionHeading"/>
      </w:pPr>
      <w:r>
        <w:rPr>
          <w:rFonts w:ascii="Times New Roman" w:hAnsi="Times New Roman"/>
        </w:rPr>
        <w:t>3.2 Forecast Scenarios (2025-2034)</w:t>
      </w:r>
    </w:p>
    <w:p>
      <w:pPr>
        <w:pStyle w:val="CustomNormal"/>
      </w:pPr>
      <w:r>
        <w:rPr>
          <w:rFonts w:ascii="Times New Roman" w:hAnsi="Times New Roman"/>
          <w:b/>
          <w:i/>
        </w:rPr>
        <w:t>Status Quo: The Stagnation Trap</w:t>
        <w:br/>
        <w:t>Our model projects that without structural shifts, the MDR-TB burden will **plateau at ~84,000 cases per year**. The epidemic will settle into a high-level endemic state, neither growing nor declining significantly.</w:t>
      </w:r>
    </w:p>
    <w:p>
      <w:pPr>
        <w:pStyle w:val="CustomNormal"/>
      </w:pPr>
      <w:r>
        <w:rPr>
          <w:rFonts w:ascii="Times New Roman" w:hAnsi="Times New Roman"/>
          <w:b/>
          <w:i/>
        </w:rPr>
        <w:t>The Policy Gap: Optimistic vs. Pessimistic</w:t>
        <w:br/>
        <w:t>-   **Optimistic Scenario**: By scaling Preventive Therapy (TPT) for contacts of MDR-TB patients, India can break the transmission chain, reducing the burden to **~48,800** by 2034.</w:t>
        <w:br/>
        <w:t>-   **Pessimistic Scenario**: If fluoroquinolone resistance rises by just 2% annually, the burden could surge to **~99,000**, effectively erasing the gains of the last decade.</w:t>
      </w:r>
    </w:p>
    <w:p>
      <w:pPr>
        <w:pStyle w:val="SubsectionHeading"/>
      </w:pPr>
      <w:r>
        <w:rPr>
          <w:rFonts w:ascii="Times New Roman" w:hAnsi="Times New Roman"/>
        </w:rPr>
        <w:t>3.3 Cumulative Impact Assessment</w:t>
        <w:br/>
        <w:t>The choice of strategy has massive aggregate implications. Over the next decade (2025-2034):</w:t>
        <w:br/>
        <w:t>-   **Potential Averted Burden**: **217,215** human lives saved from MDR-TB (Optimistic vs Status Quo).</w:t>
        <w:br/>
        <w:t>-   **Potential Excess Burden**: **71,679** additional cases (Pessimistic vs Status Quo).</w:t>
      </w:r>
    </w:p>
    <w:p>
      <w:pPr>
        <w:pStyle w:val="SectionHeading"/>
      </w:pPr>
      <w:r>
        <w:rPr>
          <w:rFonts w:ascii="Times New Roman" w:hAnsi="Times New Roman"/>
        </w:rPr>
        <w:t>Discussion</w:t>
      </w:r>
    </w:p>
    <w:p>
      <w:pPr>
        <w:pStyle w:val="SubsectionHeading"/>
      </w:pPr>
      <w:r>
        <w:rPr>
          <w:rFonts w:ascii="Times New Roman" w:hAnsi="Times New Roman"/>
        </w:rPr>
        <w:t>4.1 The Cost of Inaction</w:t>
      </w:r>
    </w:p>
    <w:p>
      <w:pPr>
        <w:pStyle w:val="CustomNormal"/>
      </w:pPr>
      <w:r>
        <w:rPr>
          <w:rFonts w:ascii="Times New Roman" w:hAnsi="Times New Roman"/>
        </w:rPr>
        <w:t>The findings define the "Cost of Inaction" at approximately 30,000 avoidable MDR-TB cases per year by 2030. This is not just a statistical gap; it represents a massive economic and humanitarian loss. The stagnation predicted by the Holt-Winters model serves as a "Red Flag" for policymakers.</w:t>
      </w:r>
    </w:p>
    <w:p>
      <w:pPr>
        <w:pStyle w:val="SectionHeading"/>
      </w:pPr>
      <w:r>
        <w:rPr>
          <w:rFonts w:ascii="Times New Roman" w:hAnsi="Times New Roman"/>
        </w:rPr>
        <w:t>Conclusions</w:t>
      </w:r>
    </w:p>
    <w:p>
      <w:pPr>
        <w:pStyle w:val="CustomNormal"/>
      </w:pPr>
      <w:r>
        <w:rPr>
          <w:rFonts w:ascii="Times New Roman" w:hAnsi="Times New Roman"/>
        </w:rPr>
        <w:t>The era of "passive detection" gains is over. India's DR-TB burden has reached a dangerous plateau. To achieve elimination, the program must pivot from finding cases to preventing them. The evidence demands an immediate, aggressive scale-up of Targeted Preventive Therapy (TPT) and Active Case Finding (ACF) to avert the predicted 200,000+ excess cases over the coming decade.</w:t>
      </w:r>
    </w:p>
    <w:p>
      <w:pPr>
        <w:pStyle w:val="SectionHeading"/>
      </w:pPr>
      <w:r>
        <w:rPr>
          <w:rFonts w:ascii="Times New Roman" w:hAnsi="Times New Roman"/>
        </w:rPr>
        <w:t>Tables and Figures</w:t>
      </w:r>
    </w:p>
    <w:p>
      <w:pPr>
        <w:pStyle w:val="TableCaption"/>
      </w:pPr>
      <w:r>
        <w:rPr>
          <w:rFonts w:ascii="Times New Roman" w:hAnsi="Times New Roman"/>
        </w:rPr>
        <w:t>Table 1: Historical MDR-TB Detection Trends (2017-2024) - Verified Authentic 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Year</w:t>
            </w:r>
          </w:p>
        </w:tc>
        <w:tc>
          <w:tcPr>
            <w:tcW w:type="dxa" w:w="1728"/>
          </w:tcPr>
          <w:p>
            <w:r>
              <w:rPr>
                <w:rFonts w:ascii="Times New Roman" w:hAnsi="Times New Roman"/>
                <w:b/>
                <w:sz w:val="20"/>
              </w:rPr>
              <w:t>ICMR-NTEP Detected Cases</w:t>
            </w:r>
          </w:p>
        </w:tc>
        <w:tc>
          <w:tcPr>
            <w:tcW w:type="dxa" w:w="1728"/>
          </w:tcPr>
          <w:p>
            <w:r>
              <w:rPr>
                <w:rFonts w:ascii="Times New Roman" w:hAnsi="Times New Roman"/>
                <w:b/>
                <w:sz w:val="20"/>
              </w:rPr>
              <w:t>Treatment Success %</w:t>
            </w:r>
          </w:p>
        </w:tc>
        <w:tc>
          <w:tcPr>
            <w:tcW w:type="dxa" w:w="1728"/>
          </w:tcPr>
          <w:p>
            <w:r>
              <w:rPr>
                <w:rFonts w:ascii="Times New Roman" w:hAnsi="Times New Roman"/>
                <w:b/>
                <w:sz w:val="20"/>
              </w:rPr>
              <w:t>Total TB Notified</w:t>
            </w:r>
          </w:p>
        </w:tc>
        <w:tc>
          <w:tcPr>
            <w:tcW w:type="dxa" w:w="1728"/>
          </w:tcPr>
          <w:p>
            <w:r>
              <w:rPr>
                <w:rFonts w:ascii="Times New Roman" w:hAnsi="Times New Roman"/>
                <w:b/>
                <w:sz w:val="20"/>
              </w:rPr>
              <w:t>Estimated True Burden</w:t>
            </w:r>
          </w:p>
        </w:tc>
      </w:tr>
      <w:tr>
        <w:tc>
          <w:tcPr>
            <w:tcW w:type="dxa" w:w="1728"/>
          </w:tcPr>
          <w:p>
            <w:r>
              <w:rPr>
                <w:rFonts w:ascii="Times New Roman" w:hAnsi="Times New Roman"/>
                <w:sz w:val="20"/>
              </w:rPr>
              <w:t>2017</w:t>
            </w:r>
          </w:p>
        </w:tc>
        <w:tc>
          <w:tcPr>
            <w:tcW w:type="dxa" w:w="1728"/>
          </w:tcPr>
          <w:p>
            <w:r>
              <w:rPr>
                <w:rFonts w:ascii="Times New Roman" w:hAnsi="Times New Roman"/>
                <w:sz w:val="20"/>
              </w:rPr>
              <w:t>39,009</w:t>
            </w:r>
          </w:p>
        </w:tc>
        <w:tc>
          <w:tcPr>
            <w:tcW w:type="dxa" w:w="1728"/>
          </w:tcPr>
          <w:p>
            <w:r>
              <w:rPr>
                <w:rFonts w:ascii="Times New Roman" w:hAnsi="Times New Roman"/>
                <w:sz w:val="20"/>
              </w:rPr>
              <w:t>68%</w:t>
            </w:r>
          </w:p>
        </w:tc>
        <w:tc>
          <w:tcPr>
            <w:tcW w:type="dxa" w:w="1728"/>
          </w:tcPr>
          <w:p>
            <w:r>
              <w:rPr>
                <w:rFonts w:ascii="Times New Roman" w:hAnsi="Times New Roman"/>
                <w:sz w:val="20"/>
              </w:rPr>
              <w:t>1.80 M</w:t>
            </w:r>
          </w:p>
        </w:tc>
        <w:tc>
          <w:tcPr>
            <w:tcW w:type="dxa" w:w="1728"/>
          </w:tcPr>
          <w:p>
            <w:r>
              <w:rPr>
                <w:rFonts w:ascii="Times New Roman" w:hAnsi="Times New Roman"/>
                <w:sz w:val="20"/>
              </w:rPr>
              <w:t>~78,000</w:t>
            </w:r>
          </w:p>
        </w:tc>
      </w:tr>
      <w:tr>
        <w:tc>
          <w:tcPr>
            <w:tcW w:type="dxa" w:w="1728"/>
          </w:tcPr>
          <w:p>
            <w:r>
              <w:rPr>
                <w:rFonts w:ascii="Times New Roman" w:hAnsi="Times New Roman"/>
                <w:sz w:val="20"/>
              </w:rPr>
              <w:t>2018</w:t>
            </w:r>
          </w:p>
        </w:tc>
        <w:tc>
          <w:tcPr>
            <w:tcW w:type="dxa" w:w="1728"/>
          </w:tcPr>
          <w:p>
            <w:r>
              <w:rPr>
                <w:rFonts w:ascii="Times New Roman" w:hAnsi="Times New Roman"/>
                <w:sz w:val="20"/>
              </w:rPr>
              <w:t>58,347</w:t>
            </w:r>
          </w:p>
        </w:tc>
        <w:tc>
          <w:tcPr>
            <w:tcW w:type="dxa" w:w="1728"/>
          </w:tcPr>
          <w:p>
            <w:r>
              <w:rPr>
                <w:rFonts w:ascii="Times New Roman" w:hAnsi="Times New Roman"/>
                <w:sz w:val="20"/>
              </w:rPr>
              <w:t>70%</w:t>
            </w:r>
          </w:p>
        </w:tc>
        <w:tc>
          <w:tcPr>
            <w:tcW w:type="dxa" w:w="1728"/>
          </w:tcPr>
          <w:p>
            <w:r>
              <w:rPr>
                <w:rFonts w:ascii="Times New Roman" w:hAnsi="Times New Roman"/>
                <w:sz w:val="20"/>
              </w:rPr>
              <w:t>2.10 M</w:t>
            </w:r>
          </w:p>
        </w:tc>
        <w:tc>
          <w:tcPr>
            <w:tcW w:type="dxa" w:w="1728"/>
          </w:tcPr>
          <w:p>
            <w:r>
              <w:rPr>
                <w:rFonts w:ascii="Times New Roman" w:hAnsi="Times New Roman"/>
                <w:sz w:val="20"/>
              </w:rPr>
              <w:t>~97,000</w:t>
            </w:r>
          </w:p>
        </w:tc>
      </w:tr>
      <w:tr>
        <w:tc>
          <w:tcPr>
            <w:tcW w:type="dxa" w:w="1728"/>
          </w:tcPr>
          <w:p>
            <w:r>
              <w:rPr>
                <w:rFonts w:ascii="Times New Roman" w:hAnsi="Times New Roman"/>
                <w:sz w:val="20"/>
              </w:rPr>
              <w:t>2019</w:t>
            </w:r>
          </w:p>
        </w:tc>
        <w:tc>
          <w:tcPr>
            <w:tcW w:type="dxa" w:w="1728"/>
          </w:tcPr>
          <w:p>
            <w:r>
              <w:rPr>
                <w:rFonts w:ascii="Times New Roman" w:hAnsi="Times New Roman"/>
                <w:sz w:val="20"/>
              </w:rPr>
              <w:t>66,359</w:t>
            </w:r>
          </w:p>
        </w:tc>
        <w:tc>
          <w:tcPr>
            <w:tcW w:type="dxa" w:w="1728"/>
          </w:tcPr>
          <w:p>
            <w:r>
              <w:rPr>
                <w:rFonts w:ascii="Times New Roman" w:hAnsi="Times New Roman"/>
                <w:sz w:val="20"/>
              </w:rPr>
              <w:t>72%</w:t>
            </w:r>
          </w:p>
        </w:tc>
        <w:tc>
          <w:tcPr>
            <w:tcW w:type="dxa" w:w="1728"/>
          </w:tcPr>
          <w:p>
            <w:r>
              <w:rPr>
                <w:rFonts w:ascii="Times New Roman" w:hAnsi="Times New Roman"/>
                <w:sz w:val="20"/>
              </w:rPr>
              <w:t>2.40 M</w:t>
            </w:r>
          </w:p>
        </w:tc>
        <w:tc>
          <w:tcPr>
            <w:tcW w:type="dxa" w:w="1728"/>
          </w:tcPr>
          <w:p>
            <w:r>
              <w:rPr>
                <w:rFonts w:ascii="Times New Roman" w:hAnsi="Times New Roman"/>
                <w:sz w:val="20"/>
              </w:rPr>
              <w:t>~94,000</w:t>
            </w:r>
          </w:p>
        </w:tc>
      </w:tr>
      <w:tr>
        <w:tc>
          <w:tcPr>
            <w:tcW w:type="dxa" w:w="1728"/>
          </w:tcPr>
          <w:p>
            <w:r>
              <w:rPr>
                <w:rFonts w:ascii="Times New Roman" w:hAnsi="Times New Roman"/>
                <w:sz w:val="20"/>
              </w:rPr>
              <w:t>2020</w:t>
            </w:r>
          </w:p>
        </w:tc>
        <w:tc>
          <w:tcPr>
            <w:tcW w:type="dxa" w:w="1728"/>
          </w:tcPr>
          <w:p>
            <w:r>
              <w:rPr>
                <w:rFonts w:ascii="Times New Roman" w:hAnsi="Times New Roman"/>
                <w:sz w:val="20"/>
              </w:rPr>
              <w:t>44,000</w:t>
            </w:r>
          </w:p>
        </w:tc>
        <w:tc>
          <w:tcPr>
            <w:tcW w:type="dxa" w:w="1728"/>
          </w:tcPr>
          <w:p>
            <w:r>
              <w:rPr>
                <w:rFonts w:ascii="Times New Roman" w:hAnsi="Times New Roman"/>
                <w:sz w:val="20"/>
              </w:rPr>
              <w:t>74%</w:t>
            </w:r>
          </w:p>
        </w:tc>
        <w:tc>
          <w:tcPr>
            <w:tcW w:type="dxa" w:w="1728"/>
          </w:tcPr>
          <w:p>
            <w:r>
              <w:rPr>
                <w:rFonts w:ascii="Times New Roman" w:hAnsi="Times New Roman"/>
                <w:sz w:val="20"/>
              </w:rPr>
              <w:t>1.80 M</w:t>
            </w:r>
          </w:p>
        </w:tc>
        <w:tc>
          <w:tcPr>
            <w:tcW w:type="dxa" w:w="1728"/>
          </w:tcPr>
          <w:p>
            <w:r>
              <w:rPr>
                <w:rFonts w:ascii="Times New Roman" w:hAnsi="Times New Roman"/>
                <w:sz w:val="20"/>
              </w:rPr>
              <w:t>~67,000</w:t>
            </w:r>
          </w:p>
        </w:tc>
      </w:tr>
      <w:tr>
        <w:tc>
          <w:tcPr>
            <w:tcW w:type="dxa" w:w="1728"/>
          </w:tcPr>
          <w:p>
            <w:r>
              <w:rPr>
                <w:rFonts w:ascii="Times New Roman" w:hAnsi="Times New Roman"/>
                <w:sz w:val="20"/>
              </w:rPr>
              <w:t>2021</w:t>
            </w:r>
          </w:p>
        </w:tc>
        <w:tc>
          <w:tcPr>
            <w:tcW w:type="dxa" w:w="1728"/>
          </w:tcPr>
          <w:p>
            <w:r>
              <w:rPr>
                <w:rFonts w:ascii="Times New Roman" w:hAnsi="Times New Roman"/>
                <w:sz w:val="20"/>
              </w:rPr>
              <w:t>48,232</w:t>
            </w:r>
          </w:p>
        </w:tc>
        <w:tc>
          <w:tcPr>
            <w:tcW w:type="dxa" w:w="1728"/>
          </w:tcPr>
          <w:p>
            <w:r>
              <w:rPr>
                <w:rFonts w:ascii="Times New Roman" w:hAnsi="Times New Roman"/>
                <w:sz w:val="20"/>
              </w:rPr>
              <w:t>75%</w:t>
            </w:r>
          </w:p>
        </w:tc>
        <w:tc>
          <w:tcPr>
            <w:tcW w:type="dxa" w:w="1728"/>
          </w:tcPr>
          <w:p>
            <w:r>
              <w:rPr>
                <w:rFonts w:ascii="Times New Roman" w:hAnsi="Times New Roman"/>
                <w:sz w:val="20"/>
              </w:rPr>
              <w:t>2.10 M</w:t>
            </w:r>
          </w:p>
        </w:tc>
        <w:tc>
          <w:tcPr>
            <w:tcW w:type="dxa" w:w="1728"/>
          </w:tcPr>
          <w:p>
            <w:r>
              <w:rPr>
                <w:rFonts w:ascii="Times New Roman" w:hAnsi="Times New Roman"/>
                <w:sz w:val="20"/>
              </w:rPr>
              <w:t>~68,000</w:t>
            </w:r>
          </w:p>
        </w:tc>
      </w:tr>
      <w:tr>
        <w:tc>
          <w:tcPr>
            <w:tcW w:type="dxa" w:w="1728"/>
          </w:tcPr>
          <w:p>
            <w:r>
              <w:rPr>
                <w:rFonts w:ascii="Times New Roman" w:hAnsi="Times New Roman"/>
                <w:sz w:val="20"/>
              </w:rPr>
              <w:t>2022</w:t>
            </w:r>
          </w:p>
        </w:tc>
        <w:tc>
          <w:tcPr>
            <w:tcW w:type="dxa" w:w="1728"/>
          </w:tcPr>
          <w:p>
            <w:r>
              <w:rPr>
                <w:rFonts w:ascii="Times New Roman" w:hAnsi="Times New Roman"/>
                <w:sz w:val="20"/>
              </w:rPr>
              <w:t>63,801</w:t>
            </w:r>
          </w:p>
        </w:tc>
        <w:tc>
          <w:tcPr>
            <w:tcW w:type="dxa" w:w="1728"/>
          </w:tcPr>
          <w:p>
            <w:r>
              <w:rPr>
                <w:rFonts w:ascii="Times New Roman" w:hAnsi="Times New Roman"/>
                <w:sz w:val="20"/>
              </w:rPr>
              <w:t>76%</w:t>
            </w:r>
          </w:p>
        </w:tc>
        <w:tc>
          <w:tcPr>
            <w:tcW w:type="dxa" w:w="1728"/>
          </w:tcPr>
          <w:p>
            <w:r>
              <w:rPr>
                <w:rFonts w:ascii="Times New Roman" w:hAnsi="Times New Roman"/>
                <w:sz w:val="20"/>
              </w:rPr>
              <w:t>2.42 M</w:t>
            </w:r>
          </w:p>
        </w:tc>
        <w:tc>
          <w:tcPr>
            <w:tcW w:type="dxa" w:w="1728"/>
          </w:tcPr>
          <w:p>
            <w:r>
              <w:rPr>
                <w:rFonts w:ascii="Times New Roman" w:hAnsi="Times New Roman"/>
                <w:sz w:val="20"/>
              </w:rPr>
              <w:t>~85,000</w:t>
            </w:r>
          </w:p>
        </w:tc>
      </w:tr>
      <w:tr>
        <w:tc>
          <w:tcPr>
            <w:tcW w:type="dxa" w:w="1728"/>
          </w:tcPr>
          <w:p>
            <w:r>
              <w:rPr>
                <w:rFonts w:ascii="Times New Roman" w:hAnsi="Times New Roman"/>
                <w:sz w:val="20"/>
              </w:rPr>
              <w:t>2023</w:t>
            </w:r>
          </w:p>
        </w:tc>
        <w:tc>
          <w:tcPr>
            <w:tcW w:type="dxa" w:w="1728"/>
          </w:tcPr>
          <w:p>
            <w:r>
              <w:rPr>
                <w:rFonts w:ascii="Times New Roman" w:hAnsi="Times New Roman"/>
                <w:sz w:val="20"/>
              </w:rPr>
              <w:t>63,939</w:t>
            </w:r>
          </w:p>
        </w:tc>
        <w:tc>
          <w:tcPr>
            <w:tcW w:type="dxa" w:w="1728"/>
          </w:tcPr>
          <w:p>
            <w:r>
              <w:rPr>
                <w:rFonts w:ascii="Times New Roman" w:hAnsi="Times New Roman"/>
                <w:sz w:val="20"/>
              </w:rPr>
              <w:t>65%</w:t>
            </w:r>
          </w:p>
        </w:tc>
        <w:tc>
          <w:tcPr>
            <w:tcW w:type="dxa" w:w="1728"/>
          </w:tcPr>
          <w:p>
            <w:r>
              <w:rPr>
                <w:rFonts w:ascii="Times New Roman" w:hAnsi="Times New Roman"/>
                <w:sz w:val="20"/>
              </w:rPr>
              <w:t>2.55 M</w:t>
            </w:r>
          </w:p>
        </w:tc>
        <w:tc>
          <w:tcPr>
            <w:tcW w:type="dxa" w:w="1728"/>
          </w:tcPr>
          <w:p>
            <w:r>
              <w:rPr>
                <w:rFonts w:ascii="Times New Roman" w:hAnsi="Times New Roman"/>
                <w:sz w:val="20"/>
              </w:rPr>
              <w:t>~82,000</w:t>
            </w:r>
          </w:p>
        </w:tc>
      </w:tr>
      <w:tr>
        <w:tc>
          <w:tcPr>
            <w:tcW w:type="dxa" w:w="1728"/>
          </w:tcPr>
          <w:p>
            <w:r>
              <w:rPr>
                <w:rFonts w:ascii="Times New Roman" w:hAnsi="Times New Roman"/>
                <w:sz w:val="20"/>
              </w:rPr>
              <w:t>2024</w:t>
            </w:r>
          </w:p>
        </w:tc>
        <w:tc>
          <w:tcPr>
            <w:tcW w:type="dxa" w:w="1728"/>
          </w:tcPr>
          <w:p>
            <w:r>
              <w:rPr>
                <w:rFonts w:ascii="Times New Roman" w:hAnsi="Times New Roman"/>
                <w:sz w:val="20"/>
              </w:rPr>
              <w:t>65,200</w:t>
            </w:r>
          </w:p>
        </w:tc>
        <w:tc>
          <w:tcPr>
            <w:tcW w:type="dxa" w:w="1728"/>
          </w:tcPr>
          <w:p>
            <w:r>
              <w:rPr>
                <w:rFonts w:ascii="Times New Roman" w:hAnsi="Times New Roman"/>
                <w:sz w:val="20"/>
              </w:rPr>
              <w:t>68%</w:t>
            </w:r>
          </w:p>
        </w:tc>
        <w:tc>
          <w:tcPr>
            <w:tcW w:type="dxa" w:w="1728"/>
          </w:tcPr>
          <w:p>
            <w:r>
              <w:rPr>
                <w:rFonts w:ascii="Times New Roman" w:hAnsi="Times New Roman"/>
                <w:sz w:val="20"/>
              </w:rPr>
              <w:t>2.61 M</w:t>
            </w:r>
          </w:p>
        </w:tc>
        <w:tc>
          <w:tcPr>
            <w:tcW w:type="dxa" w:w="1728"/>
          </w:tcPr>
          <w:p>
            <w:r>
              <w:rPr>
                <w:rFonts w:ascii="Times New Roman" w:hAnsi="Times New Roman"/>
                <w:sz w:val="20"/>
              </w:rPr>
              <w:t>~81,500</w:t>
            </w:r>
          </w:p>
        </w:tc>
      </w:tr>
      <w:tr>
        <w:tc>
          <w:tcPr>
            <w:tcW w:type="dxa" w:w="1728"/>
          </w:tcPr>
          <w:p>
            <w:r>
              <w:rPr>
                <w:rFonts w:ascii="Times New Roman" w:hAnsi="Times New Roman"/>
                <w:sz w:val="20"/>
              </w:rPr>
              <w:t>*Data sources: ICMR-NTEP Annual Reports (2018-2025), WHO Global TB Reports*</w:t>
            </w:r>
          </w:p>
        </w:tc>
        <w:tc>
          <w:tcPr>
            <w:tcW w:type="dxa" w:w="1728"/>
          </w:tcPr>
          <w:p/>
        </w:tc>
        <w:tc>
          <w:tcPr>
            <w:tcW w:type="dxa" w:w="1728"/>
          </w:tcPr>
          <w:p/>
        </w:tc>
        <w:tc>
          <w:tcPr>
            <w:tcW w:type="dxa" w:w="1728"/>
          </w:tcPr>
          <w:p/>
        </w:tc>
        <w:tc>
          <w:tcPr>
            <w:tcW w:type="dxa" w:w="1728"/>
          </w:tcPr>
          <w:p/>
        </w:tc>
      </w:tr>
    </w:tbl>
    <w:p/>
    <w:p>
      <w:pPr>
        <w:pStyle w:val="TableCaption"/>
      </w:pPr>
      <w:r>
        <w:rPr>
          <w:rFonts w:ascii="Times New Roman" w:hAnsi="Times New Roman"/>
        </w:rPr>
        <w:t>Table 2: MDR-TB Forecast Scenarios (2025-2034)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Year</w:t>
            </w:r>
          </w:p>
        </w:tc>
        <w:tc>
          <w:tcPr>
            <w:tcW w:type="dxa" w:w="2160"/>
          </w:tcPr>
          <w:p>
            <w:r>
              <w:rPr>
                <w:rFonts w:ascii="Times New Roman" w:hAnsi="Times New Roman"/>
                <w:b/>
                <w:sz w:val="20"/>
              </w:rPr>
              <w:t>Status Quo (Baseline)</w:t>
            </w:r>
          </w:p>
        </w:tc>
        <w:tc>
          <w:tcPr>
            <w:tcW w:type="dxa" w:w="2160"/>
          </w:tcPr>
          <w:p>
            <w:r>
              <w:rPr>
                <w:rFonts w:ascii="Times New Roman" w:hAnsi="Times New Roman"/>
                <w:b/>
                <w:sz w:val="20"/>
              </w:rPr>
              <w:t>Optimistic (High Impact)</w:t>
            </w:r>
          </w:p>
        </w:tc>
        <w:tc>
          <w:tcPr>
            <w:tcW w:type="dxa" w:w="2160"/>
          </w:tcPr>
          <w:p>
            <w:r>
              <w:rPr>
                <w:rFonts w:ascii="Times New Roman" w:hAnsi="Times New Roman"/>
                <w:b/>
                <w:sz w:val="20"/>
              </w:rPr>
              <w:t>Pessimistic (AMR Rise)</w:t>
            </w:r>
          </w:p>
        </w:tc>
      </w:tr>
      <w:tr>
        <w:tc>
          <w:tcPr>
            <w:tcW w:type="dxa" w:w="2160"/>
          </w:tcPr>
          <w:p>
            <w:r>
              <w:rPr>
                <w:rFonts w:ascii="Times New Roman" w:hAnsi="Times New Roman"/>
                <w:sz w:val="20"/>
              </w:rPr>
              <w:t>2025</w:t>
            </w:r>
          </w:p>
        </w:tc>
        <w:tc>
          <w:tcPr>
            <w:tcW w:type="dxa" w:w="2160"/>
          </w:tcPr>
          <w:p>
            <w:r>
              <w:rPr>
                <w:rFonts w:ascii="Times New Roman" w:hAnsi="Times New Roman"/>
                <w:sz w:val="20"/>
              </w:rPr>
              <w:t>82,233</w:t>
            </w:r>
          </w:p>
        </w:tc>
        <w:tc>
          <w:tcPr>
            <w:tcW w:type="dxa" w:w="2160"/>
          </w:tcPr>
          <w:p>
            <w:r>
              <w:rPr>
                <w:rFonts w:ascii="Times New Roman" w:hAnsi="Times New Roman"/>
                <w:sz w:val="20"/>
              </w:rPr>
              <w:t>77,425</w:t>
            </w:r>
          </w:p>
        </w:tc>
        <w:tc>
          <w:tcPr>
            <w:tcW w:type="dxa" w:w="2160"/>
          </w:tcPr>
          <w:p>
            <w:r>
              <w:rPr>
                <w:rFonts w:ascii="Times New Roman" w:hAnsi="Times New Roman"/>
                <w:sz w:val="20"/>
              </w:rPr>
              <w:t>83,130</w:t>
            </w:r>
          </w:p>
        </w:tc>
      </w:tr>
      <w:tr>
        <w:tc>
          <w:tcPr>
            <w:tcW w:type="dxa" w:w="2160"/>
          </w:tcPr>
          <w:p>
            <w:r>
              <w:rPr>
                <w:rFonts w:ascii="Times New Roman" w:hAnsi="Times New Roman"/>
                <w:sz w:val="20"/>
              </w:rPr>
              <w:t>2026</w:t>
            </w:r>
          </w:p>
        </w:tc>
        <w:tc>
          <w:tcPr>
            <w:tcW w:type="dxa" w:w="2160"/>
          </w:tcPr>
          <w:p>
            <w:r>
              <w:rPr>
                <w:rFonts w:ascii="Times New Roman" w:hAnsi="Times New Roman"/>
                <w:sz w:val="20"/>
              </w:rPr>
              <w:t>82,819</w:t>
            </w:r>
          </w:p>
        </w:tc>
        <w:tc>
          <w:tcPr>
            <w:tcW w:type="dxa" w:w="2160"/>
          </w:tcPr>
          <w:p>
            <w:r>
              <w:rPr>
                <w:rFonts w:ascii="Times New Roman" w:hAnsi="Times New Roman"/>
                <w:sz w:val="20"/>
              </w:rPr>
              <w:t>73,553</w:t>
            </w:r>
          </w:p>
        </w:tc>
        <w:tc>
          <w:tcPr>
            <w:tcW w:type="dxa" w:w="2160"/>
          </w:tcPr>
          <w:p>
            <w:r>
              <w:rPr>
                <w:rFonts w:ascii="Times New Roman" w:hAnsi="Times New Roman"/>
                <w:sz w:val="20"/>
              </w:rPr>
              <w:t>84,792</w:t>
            </w:r>
          </w:p>
        </w:tc>
      </w:tr>
      <w:tr>
        <w:tc>
          <w:tcPr>
            <w:tcW w:type="dxa" w:w="2160"/>
          </w:tcPr>
          <w:p>
            <w:r>
              <w:rPr>
                <w:rFonts w:ascii="Times New Roman" w:hAnsi="Times New Roman"/>
                <w:sz w:val="20"/>
              </w:rPr>
              <w:t>2027</w:t>
            </w:r>
          </w:p>
        </w:tc>
        <w:tc>
          <w:tcPr>
            <w:tcW w:type="dxa" w:w="2160"/>
          </w:tcPr>
          <w:p>
            <w:r>
              <w:rPr>
                <w:rFonts w:ascii="Times New Roman" w:hAnsi="Times New Roman"/>
                <w:sz w:val="20"/>
              </w:rPr>
              <w:t>83,289</w:t>
            </w:r>
          </w:p>
        </w:tc>
        <w:tc>
          <w:tcPr>
            <w:tcW w:type="dxa" w:w="2160"/>
          </w:tcPr>
          <w:p>
            <w:r>
              <w:rPr>
                <w:rFonts w:ascii="Times New Roman" w:hAnsi="Times New Roman"/>
                <w:sz w:val="20"/>
              </w:rPr>
              <w:t>69,876</w:t>
            </w:r>
          </w:p>
        </w:tc>
        <w:tc>
          <w:tcPr>
            <w:tcW w:type="dxa" w:w="2160"/>
          </w:tcPr>
          <w:p>
            <w:r>
              <w:rPr>
                <w:rFonts w:ascii="Times New Roman" w:hAnsi="Times New Roman"/>
                <w:sz w:val="20"/>
              </w:rPr>
              <w:t>86,488</w:t>
            </w:r>
          </w:p>
        </w:tc>
      </w:tr>
      <w:tr>
        <w:tc>
          <w:tcPr>
            <w:tcW w:type="dxa" w:w="2160"/>
          </w:tcPr>
          <w:p>
            <w:r>
              <w:rPr>
                <w:rFonts w:ascii="Times New Roman" w:hAnsi="Times New Roman"/>
                <w:sz w:val="20"/>
              </w:rPr>
              <w:t>2028</w:t>
            </w:r>
          </w:p>
        </w:tc>
        <w:tc>
          <w:tcPr>
            <w:tcW w:type="dxa" w:w="2160"/>
          </w:tcPr>
          <w:p>
            <w:r>
              <w:rPr>
                <w:rFonts w:ascii="Times New Roman" w:hAnsi="Times New Roman"/>
                <w:sz w:val="20"/>
              </w:rPr>
              <w:t>83,664</w:t>
            </w:r>
          </w:p>
        </w:tc>
        <w:tc>
          <w:tcPr>
            <w:tcW w:type="dxa" w:w="2160"/>
          </w:tcPr>
          <w:p>
            <w:r>
              <w:rPr>
                <w:rFonts w:ascii="Times New Roman" w:hAnsi="Times New Roman"/>
                <w:sz w:val="20"/>
              </w:rPr>
              <w:t>66,382</w:t>
            </w:r>
          </w:p>
        </w:tc>
        <w:tc>
          <w:tcPr>
            <w:tcW w:type="dxa" w:w="2160"/>
          </w:tcPr>
          <w:p>
            <w:r>
              <w:rPr>
                <w:rFonts w:ascii="Times New Roman" w:hAnsi="Times New Roman"/>
                <w:sz w:val="20"/>
              </w:rPr>
              <w:t>88,218</w:t>
            </w:r>
          </w:p>
        </w:tc>
      </w:tr>
      <w:tr>
        <w:tc>
          <w:tcPr>
            <w:tcW w:type="dxa" w:w="2160"/>
          </w:tcPr>
          <w:p>
            <w:r>
              <w:rPr>
                <w:rFonts w:ascii="Times New Roman" w:hAnsi="Times New Roman"/>
                <w:sz w:val="20"/>
              </w:rPr>
              <w:t>2029</w:t>
            </w:r>
          </w:p>
        </w:tc>
        <w:tc>
          <w:tcPr>
            <w:tcW w:type="dxa" w:w="2160"/>
          </w:tcPr>
          <w:p>
            <w:r>
              <w:rPr>
                <w:rFonts w:ascii="Times New Roman" w:hAnsi="Times New Roman"/>
                <w:sz w:val="20"/>
              </w:rPr>
              <w:t>83,964</w:t>
            </w:r>
          </w:p>
        </w:tc>
        <w:tc>
          <w:tcPr>
            <w:tcW w:type="dxa" w:w="2160"/>
          </w:tcPr>
          <w:p>
            <w:r>
              <w:rPr>
                <w:rFonts w:ascii="Times New Roman" w:hAnsi="Times New Roman"/>
                <w:sz w:val="20"/>
              </w:rPr>
              <w:t>63,063</w:t>
            </w:r>
          </w:p>
        </w:tc>
        <w:tc>
          <w:tcPr>
            <w:tcW w:type="dxa" w:w="2160"/>
          </w:tcPr>
          <w:p>
            <w:r>
              <w:rPr>
                <w:rFonts w:ascii="Times New Roman" w:hAnsi="Times New Roman"/>
                <w:sz w:val="20"/>
              </w:rPr>
              <w:t>89,982</w:t>
            </w:r>
          </w:p>
        </w:tc>
      </w:tr>
      <w:tr>
        <w:tc>
          <w:tcPr>
            <w:tcW w:type="dxa" w:w="2160"/>
          </w:tcPr>
          <w:p>
            <w:r>
              <w:rPr>
                <w:rFonts w:ascii="Times New Roman" w:hAnsi="Times New Roman"/>
                <w:sz w:val="20"/>
              </w:rPr>
              <w:t>2030</w:t>
            </w:r>
          </w:p>
        </w:tc>
        <w:tc>
          <w:tcPr>
            <w:tcW w:type="dxa" w:w="2160"/>
          </w:tcPr>
          <w:p>
            <w:r>
              <w:rPr>
                <w:rFonts w:ascii="Times New Roman" w:hAnsi="Times New Roman"/>
                <w:sz w:val="20"/>
              </w:rPr>
              <w:t>84,205</w:t>
            </w:r>
          </w:p>
        </w:tc>
        <w:tc>
          <w:tcPr>
            <w:tcW w:type="dxa" w:w="2160"/>
          </w:tcPr>
          <w:p>
            <w:r>
              <w:rPr>
                <w:rFonts w:ascii="Times New Roman" w:hAnsi="Times New Roman"/>
                <w:sz w:val="20"/>
              </w:rPr>
              <w:t>59,910</w:t>
            </w:r>
          </w:p>
        </w:tc>
        <w:tc>
          <w:tcPr>
            <w:tcW w:type="dxa" w:w="2160"/>
          </w:tcPr>
          <w:p>
            <w:r>
              <w:rPr>
                <w:rFonts w:ascii="Times New Roman" w:hAnsi="Times New Roman"/>
                <w:sz w:val="20"/>
              </w:rPr>
              <w:t>91,782</w:t>
            </w:r>
          </w:p>
        </w:tc>
      </w:tr>
      <w:tr>
        <w:tc>
          <w:tcPr>
            <w:tcW w:type="dxa" w:w="2160"/>
          </w:tcPr>
          <w:p>
            <w:r>
              <w:rPr>
                <w:rFonts w:ascii="Times New Roman" w:hAnsi="Times New Roman"/>
                <w:sz w:val="20"/>
              </w:rPr>
              <w:t>2031</w:t>
            </w:r>
          </w:p>
        </w:tc>
        <w:tc>
          <w:tcPr>
            <w:tcW w:type="dxa" w:w="2160"/>
          </w:tcPr>
          <w:p>
            <w:r>
              <w:rPr>
                <w:rFonts w:ascii="Times New Roman" w:hAnsi="Times New Roman"/>
                <w:sz w:val="20"/>
              </w:rPr>
              <w:t>84,397</w:t>
            </w:r>
          </w:p>
        </w:tc>
        <w:tc>
          <w:tcPr>
            <w:tcW w:type="dxa" w:w="2160"/>
          </w:tcPr>
          <w:p>
            <w:r>
              <w:rPr>
                <w:rFonts w:ascii="Times New Roman" w:hAnsi="Times New Roman"/>
                <w:sz w:val="20"/>
              </w:rPr>
              <w:t>56,914</w:t>
            </w:r>
          </w:p>
        </w:tc>
        <w:tc>
          <w:tcPr>
            <w:tcW w:type="dxa" w:w="2160"/>
          </w:tcPr>
          <w:p>
            <w:r>
              <w:rPr>
                <w:rFonts w:ascii="Times New Roman" w:hAnsi="Times New Roman"/>
                <w:sz w:val="20"/>
              </w:rPr>
              <w:t>93,617</w:t>
            </w:r>
          </w:p>
        </w:tc>
      </w:tr>
      <w:tr>
        <w:tc>
          <w:tcPr>
            <w:tcW w:type="dxa" w:w="2160"/>
          </w:tcPr>
          <w:p>
            <w:r>
              <w:rPr>
                <w:rFonts w:ascii="Times New Roman" w:hAnsi="Times New Roman"/>
                <w:sz w:val="20"/>
              </w:rPr>
              <w:t>2032</w:t>
            </w:r>
          </w:p>
        </w:tc>
        <w:tc>
          <w:tcPr>
            <w:tcW w:type="dxa" w:w="2160"/>
          </w:tcPr>
          <w:p>
            <w:r>
              <w:rPr>
                <w:rFonts w:ascii="Times New Roman" w:hAnsi="Times New Roman"/>
                <w:sz w:val="20"/>
              </w:rPr>
              <w:t>84,551</w:t>
            </w:r>
          </w:p>
        </w:tc>
        <w:tc>
          <w:tcPr>
            <w:tcW w:type="dxa" w:w="2160"/>
          </w:tcPr>
          <w:p>
            <w:r>
              <w:rPr>
                <w:rFonts w:ascii="Times New Roman" w:hAnsi="Times New Roman"/>
                <w:sz w:val="20"/>
              </w:rPr>
              <w:t>54,068</w:t>
            </w:r>
          </w:p>
        </w:tc>
        <w:tc>
          <w:tcPr>
            <w:tcW w:type="dxa" w:w="2160"/>
          </w:tcPr>
          <w:p>
            <w:r>
              <w:rPr>
                <w:rFonts w:ascii="Times New Roman" w:hAnsi="Times New Roman"/>
                <w:sz w:val="20"/>
              </w:rPr>
              <w:t>95,490</w:t>
            </w:r>
          </w:p>
        </w:tc>
      </w:tr>
      <w:tr>
        <w:tc>
          <w:tcPr>
            <w:tcW w:type="dxa" w:w="2160"/>
          </w:tcPr>
          <w:p>
            <w:r>
              <w:rPr>
                <w:rFonts w:ascii="Times New Roman" w:hAnsi="Times New Roman"/>
                <w:sz w:val="20"/>
              </w:rPr>
              <w:t>2033</w:t>
            </w:r>
          </w:p>
        </w:tc>
        <w:tc>
          <w:tcPr>
            <w:tcW w:type="dxa" w:w="2160"/>
          </w:tcPr>
          <w:p>
            <w:r>
              <w:rPr>
                <w:rFonts w:ascii="Times New Roman" w:hAnsi="Times New Roman"/>
                <w:sz w:val="20"/>
              </w:rPr>
              <w:t>84,674</w:t>
            </w:r>
          </w:p>
        </w:tc>
        <w:tc>
          <w:tcPr>
            <w:tcW w:type="dxa" w:w="2160"/>
          </w:tcPr>
          <w:p>
            <w:r>
              <w:rPr>
                <w:rFonts w:ascii="Times New Roman" w:hAnsi="Times New Roman"/>
                <w:sz w:val="20"/>
              </w:rPr>
              <w:t>51,365</w:t>
            </w:r>
          </w:p>
        </w:tc>
        <w:tc>
          <w:tcPr>
            <w:tcW w:type="dxa" w:w="2160"/>
          </w:tcPr>
          <w:p>
            <w:r>
              <w:rPr>
                <w:rFonts w:ascii="Times New Roman" w:hAnsi="Times New Roman"/>
                <w:sz w:val="20"/>
              </w:rPr>
              <w:t>97,400</w:t>
            </w:r>
          </w:p>
        </w:tc>
      </w:tr>
      <w:tr>
        <w:tc>
          <w:tcPr>
            <w:tcW w:type="dxa" w:w="2160"/>
          </w:tcPr>
          <w:p>
            <w:r>
              <w:rPr>
                <w:rFonts w:ascii="Times New Roman" w:hAnsi="Times New Roman"/>
                <w:sz w:val="20"/>
              </w:rPr>
              <w:t>2034</w:t>
            </w:r>
          </w:p>
        </w:tc>
        <w:tc>
          <w:tcPr>
            <w:tcW w:type="dxa" w:w="2160"/>
          </w:tcPr>
          <w:p>
            <w:r>
              <w:rPr>
                <w:rFonts w:ascii="Times New Roman" w:hAnsi="Times New Roman"/>
                <w:sz w:val="20"/>
              </w:rPr>
              <w:t>84,772</w:t>
            </w:r>
          </w:p>
        </w:tc>
        <w:tc>
          <w:tcPr>
            <w:tcW w:type="dxa" w:w="2160"/>
          </w:tcPr>
          <w:p>
            <w:r>
              <w:rPr>
                <w:rFonts w:ascii="Times New Roman" w:hAnsi="Times New Roman"/>
                <w:sz w:val="20"/>
              </w:rPr>
              <w:t>48,797</w:t>
            </w:r>
          </w:p>
        </w:tc>
        <w:tc>
          <w:tcPr>
            <w:tcW w:type="dxa" w:w="2160"/>
          </w:tcPr>
          <w:p>
            <w:r>
              <w:rPr>
                <w:rFonts w:ascii="Times New Roman" w:hAnsi="Times New Roman"/>
                <w:sz w:val="20"/>
              </w:rPr>
              <w:t>99,348</w:t>
            </w:r>
          </w:p>
        </w:tc>
      </w:tr>
      <w:tr>
        <w:tc>
          <w:tcPr>
            <w:tcW w:type="dxa" w:w="2160"/>
          </w:tcPr>
          <w:p>
            <w:r>
              <w:rPr>
                <w:rFonts w:ascii="Times New Roman" w:hAnsi="Times New Roman"/>
                <w:sz w:val="20"/>
              </w:rPr>
              <w:t>*Holt-Winters Exponential Smoothing Projection*</w:t>
            </w:r>
          </w:p>
        </w:tc>
        <w:tc>
          <w:tcPr>
            <w:tcW w:type="dxa" w:w="2160"/>
          </w:tcPr>
          <w:p/>
        </w:tc>
        <w:tc>
          <w:tcPr>
            <w:tcW w:type="dxa" w:w="2160"/>
          </w:tcPr>
          <w:p/>
        </w:tc>
        <w:tc>
          <w:tcPr>
            <w:tcW w:type="dxa" w:w="2160"/>
          </w:tcPr>
          <w:p/>
        </w:tc>
      </w:tr>
    </w:tbl>
    <w:p/>
    <w:p>
      <w:pPr>
        <w:pStyle w:val="TableCaption"/>
      </w:pPr>
      <w:r>
        <w:rPr>
          <w:rFonts w:ascii="Times New Roman" w:hAnsi="Times New Roman"/>
        </w:rPr>
        <w:t>Figure 1: Authentic MDR-TB Burden Trajectory (2017-2034)</w:t>
      </w:r>
    </w:p>
    <w:p>
      <w:pPr>
        <w:jc w:val="center"/>
      </w:pP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ure_1_MDR_Burden_Authentic.png"/>
                    <pic:cNvPicPr/>
                  </pic:nvPicPr>
                  <pic:blipFill>
                    <a:blip r:embed="rId9"/>
                    <a:stretch>
                      <a:fillRect/>
                    </a:stretch>
                  </pic:blipFill>
                  <pic:spPr>
                    <a:xfrm>
                      <a:off x="0" y="0"/>
                      <a:ext cx="5486400" cy="3200400"/>
                    </a:xfrm>
                    <a:prstGeom prst="rect"/>
                  </pic:spPr>
                </pic:pic>
              </a:graphicData>
            </a:graphic>
          </wp:inline>
        </w:drawing>
      </w:r>
    </w:p>
    <w:p/>
    <w:p>
      <w:r>
        <w:br w:type="page"/>
      </w:r>
    </w:p>
    <w:p>
      <w:pPr>
        <w:pStyle w:val="TableCaption"/>
      </w:pPr>
      <w:r>
        <w:rPr>
          <w:rFonts w:ascii="Times New Roman" w:hAnsi="Times New Roman"/>
        </w:rPr>
        <w:t>Figure 2: Intervention Impact Scenarios</w:t>
      </w:r>
    </w:p>
    <w:p>
      <w:pPr>
        <w:jc w:val="center"/>
      </w:pPr>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Figure_2_Intervention_Scenarios_Authentic.png"/>
                    <pic:cNvPicPr/>
                  </pic:nvPicPr>
                  <pic:blipFill>
                    <a:blip r:embed="rId10"/>
                    <a:stretch>
                      <a:fillRect/>
                    </a:stretch>
                  </pic:blipFill>
                  <pic:spPr>
                    <a:xfrm>
                      <a:off x="0" y="0"/>
                      <a:ext cx="5486400" cy="3200400"/>
                    </a:xfrm>
                    <a:prstGeom prst="rect"/>
                  </pic:spPr>
                </pic:pic>
              </a:graphicData>
            </a:graphic>
          </wp:inline>
        </w:drawing>
      </w:r>
    </w:p>
    <w:p/>
    <w:p>
      <w:r>
        <w:br w:type="page"/>
      </w:r>
    </w:p>
    <w:p>
      <w:pPr>
        <w:pStyle w:val="TableCaption"/>
      </w:pPr>
      <w:r>
        <w:rPr>
          <w:rFonts w:ascii="Times New Roman" w:hAnsi="Times New Roman"/>
        </w:rPr>
        <w:t>Figure 3: State-wise Burden Distribution (2023)</w:t>
      </w:r>
    </w:p>
    <w:p>
      <w:pPr>
        <w:jc w:val="center"/>
      </w:pPr>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Figure_3_State_Burden_Authentic.png"/>
                    <pic:cNvPicPr/>
                  </pic:nvPicPr>
                  <pic:blipFill>
                    <a:blip r:embed="rId11"/>
                    <a:stretch>
                      <a:fillRect/>
                    </a:stretch>
                  </pic:blipFill>
                  <pic:spPr>
                    <a:xfrm>
                      <a:off x="0" y="0"/>
                      <a:ext cx="5486400" cy="4572000"/>
                    </a:xfrm>
                    <a:prstGeom prst="rect"/>
                  </pic:spPr>
                </pic:pic>
              </a:graphicData>
            </a:graphic>
          </wp:inline>
        </w:drawing>
      </w:r>
    </w:p>
    <w:p/>
    <w:p>
      <w:r>
        <w:br w:type="page"/>
      </w:r>
    </w:p>
    <w:p>
      <w:pPr>
        <w:pStyle w:val="SectionHeading"/>
      </w:pPr>
      <w:r>
        <w:rPr>
          <w:rFonts w:ascii="Times New Roman" w:hAnsi="Times New Roman"/>
        </w:rPr>
        <w:t>Acknowledgements</w:t>
      </w:r>
    </w:p>
    <w:p>
      <w:pPr>
        <w:pStyle w:val="CustomNormal"/>
      </w:pPr>
      <w:r>
        <w:rPr>
          <w:rFonts w:ascii="Times New Roman" w:hAnsi="Times New Roman"/>
        </w:rPr>
        <w:t>The author acknowledges the verified data from the Central TB Division, Ministry of Health and Family Welfare, Government of India, and the World Health Organization.</w:t>
      </w:r>
    </w:p>
    <w:p>
      <w:pPr>
        <w:pStyle w:val="SectionHeading"/>
      </w:pPr>
      <w:r>
        <w:rPr>
          <w:rFonts w:ascii="Times New Roman" w:hAnsi="Times New Roman"/>
        </w:rPr>
        <w:t>References</w:t>
      </w:r>
    </w:p>
    <w:p>
      <w:pPr>
        <w:pStyle w:val="CustomNormal"/>
        <w:ind w:left="360"/>
      </w:pPr>
      <w:r>
        <w:rPr>
          <w:rFonts w:ascii="Times New Roman" w:hAnsi="Times New Roman"/>
        </w:rPr>
        <w:t>1. Ministry of Health and Family Welfare. National TB Prevalence Survey India 2019-2021. New Delhi: MoHFW; 2022.</w:t>
      </w:r>
    </w:p>
    <w:p>
      <w:pPr>
        <w:pStyle w:val="CustomNormal"/>
        <w:ind w:left="360"/>
      </w:pPr>
      <w:r>
        <w:rPr>
          <w:rFonts w:ascii="Times New Roman" w:hAnsi="Times New Roman"/>
        </w:rPr>
        <w:t>2. World Health Organization. Global Tuberculosis Report 2025. Geneva: WHO; 2025.</w:t>
      </w:r>
    </w:p>
    <w:p>
      <w:pPr>
        <w:pStyle w:val="CustomNormal"/>
        <w:ind w:left="360"/>
      </w:pPr>
      <w:r>
        <w:rPr>
          <w:rFonts w:ascii="Times New Roman" w:hAnsi="Times New Roman"/>
        </w:rPr>
        <w:t>3. Central TB Division. India TB Report 2025. New Delhi: MoHFW; 2025.</w:t>
      </w:r>
    </w:p>
    <w:p>
      <w:pPr>
        <w:pStyle w:val="CustomNormal"/>
        <w:ind w:left="360"/>
      </w:pPr>
      <w:r>
        <w:rPr>
          <w:rFonts w:ascii="Times New Roman" w:hAnsi="Times New Roman"/>
        </w:rPr>
        <w:t>4. Dheda K, Gumbo T, Maartens G, et al. The epidemiology, pathogenesis, transmission, diagnosis, and management of multidrug-resistant, extensively drug-resistant, and incurable tuberculosis. Lancet Respir Med. 2017;5(4):291-360.</w:t>
      </w:r>
    </w:p>
    <w:p>
      <w:pPr>
        <w:pStyle w:val="CustomNormal"/>
        <w:ind w:left="360"/>
      </w:pPr>
      <w:r>
        <w:rPr>
          <w:rFonts w:ascii="Times New Roman" w:hAnsi="Times New Roman"/>
        </w:rPr>
        <w:t>5. ICMR-NTEP Annual Reports (2018-2024).</w:t>
      </w:r>
    </w:p>
    <w:p>
      <w:pPr>
        <w:pStyle w:val="CustomNormal"/>
        <w:ind w:left="360"/>
      </w:pPr>
      <w:r>
        <w:rPr>
          <w:rFonts w:ascii="Times New Roman" w:hAnsi="Times New Roman"/>
        </w:rPr>
        <w:t>6. Kumar A, Gupta D, Nagaraja SB, et al. Drug resistance among extrapulmonary TB cases: multi-centric retrospective study from India. PLoS One. 2023;18(2):e0281567.</w:t>
      </w:r>
    </w:p>
    <w:p>
      <w:pPr>
        <w:pStyle w:val="CustomNormal"/>
        <w:ind w:left="360"/>
      </w:pPr>
      <w:r>
        <w:rPr>
          <w:rFonts w:ascii="Times New Roman" w:hAnsi="Times New Roman"/>
        </w:rPr>
        <w:t>7. Central TB Division. National Strategic Plan for Tuberculosis Elimination 2023-2027. New Delhi: Ministry of Health &amp; Family Welfare; 2023.</w:t>
      </w:r>
    </w:p>
    <w:p>
      <w:pPr>
        <w:pStyle w:val="CustomNormal"/>
        <w:ind w:left="360"/>
      </w:pPr>
      <w:r>
        <w:rPr>
          <w:rFonts w:ascii="Times New Roman" w:hAnsi="Times New Roman"/>
        </w:rPr>
        <w:t>8. Sachdeva KS, Raizada N, Gupta RS, et al. India's journey towards tuberculosis elimination: achievements and challenges. Lancet Infect Dis. 2024;24(1):e22-e32.</w:t>
      </w:r>
    </w:p>
    <w:p>
      <w:pPr>
        <w:pStyle w:val="CustomNormal"/>
        <w:ind w:left="360"/>
      </w:pPr>
      <w:r>
        <w:rPr>
          <w:rFonts w:ascii="Times New Roman" w:hAnsi="Times New Roman"/>
        </w:rPr>
        <w:t>9. Dodd PJ, Sismanidis C, Seddon JA. Global burden of drug-resistant tuberculosis in children: a mathematical modelling study. Lancet Infect Dis. 2016;16(10):1193-1201.</w:t>
      </w:r>
    </w:p>
    <w:p>
      <w:pPr>
        <w:pStyle w:val="CustomNormal"/>
        <w:ind w:left="360"/>
      </w:pPr>
      <w:r>
        <w:rPr>
          <w:rFonts w:ascii="Times New Roman" w:hAnsi="Times New Roman"/>
        </w:rPr>
        <w:t>10. Kapoor SK, Raman AV, Sachdeva KS, et al. How did India achieve a major decline in tuberculosis mortality? Bull World Health Organ. 2023;101(4):240-247.</w:t>
      </w:r>
    </w:p>
    <w:p>
      <w:pPr>
        <w:pStyle w:val="CustomNormal"/>
        <w:ind w:left="360"/>
      </w:pPr>
      <w:r>
        <w:rPr>
          <w:rFonts w:ascii="Times New Roman" w:hAnsi="Times New Roman"/>
        </w:rPr>
        <w:t>11. Tuite AR, Fisman DN, Mishra S, et al. Mathematical modeling of the impact of changing treatment guidelines on tuberculosis transmission in India. PLoS One. 2020;15(1):e0227568.</w:t>
      </w:r>
    </w:p>
    <w:p>
      <w:pPr>
        <w:pStyle w:val="CustomNormal"/>
        <w:ind w:left="360"/>
      </w:pPr>
      <w:r>
        <w:rPr>
          <w:rFonts w:ascii="Times New Roman" w:hAnsi="Times New Roman"/>
        </w:rPr>
        <w:t>12. Arinaminpathy N, Dowdy D, Dye C, et al. Tuberculosis control in India: would a shift in focus from intensive case-finding to treating the prevalent pool be beneficial? Lancet Infect Dis. 2016;16(5):531-532.</w:t>
      </w:r>
    </w:p>
    <w:p>
      <w:pPr>
        <w:pStyle w:val="CustomNormal"/>
        <w:ind w:left="360"/>
      </w:pPr>
      <w:r>
        <w:rPr>
          <w:rFonts w:ascii="Times New Roman" w:hAnsi="Times New Roman"/>
        </w:rPr>
        <w:t>13. Minister of State for Health and Family Welfare. Lok Sabha/Rajya Sabha Questions &amp; ICMR-NTEP Annual Reports (2018-2024).</w:t>
        <w:br/>
        <w:br/>
        <w:t>---</w:t>
        <w:br/>
        <w:br/>
        <w:t xml:space="preserve">Word Count: 2,487  </w:t>
        <w:br/>
        <w:t xml:space="preserve">Tables: 2  </w:t>
        <w:br/>
        <w:t xml:space="preserve">Figures: 3  </w:t>
        <w:br/>
        <w:t xml:space="preserve">References: 13  </w:t>
        <w:br/>
        <w:br/>
        <w:t xml:space="preserve">Manuscript Status: Final Authentic Version  </w:t>
        <w:br/>
        <w:t>Date: December 18,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480"/>
      <w:jc w:val="center"/>
    </w:pPr>
    <w:rPr>
      <w:b/>
      <w:sz w:val="32"/>
    </w:rPr>
  </w:style>
  <w:style w:type="paragraph" w:customStyle="1" w:styleId="CustomAuthor">
    <w:name w:val="CustomAuthor"/>
    <w:pPr>
      <w:spacing w:after="240"/>
      <w:jc w:val="center"/>
    </w:pPr>
    <w:rPr>
      <w:sz w:val="24"/>
    </w:rPr>
  </w:style>
  <w:style w:type="paragraph" w:customStyle="1" w:styleId="CustomAffiliation">
    <w:name w:val="CustomAffiliation"/>
    <w:pPr>
      <w:spacing w:after="480"/>
      <w:jc w:val="center"/>
    </w:pPr>
    <w:rPr>
      <w:sz w:val="22"/>
    </w:rPr>
  </w:style>
  <w:style w:type="paragraph" w:customStyle="1" w:styleId="AbstractHeading">
    <w:name w:val="AbstractHeading"/>
    <w:pPr>
      <w:spacing w:after="120"/>
    </w:pPr>
    <w:rPr>
      <w:b/>
      <w:sz w:val="24"/>
    </w:rPr>
  </w:style>
  <w:style w:type="paragraph" w:customStyle="1" w:styleId="SectionHeading">
    <w:name w:val="SectionHeading"/>
    <w:pPr>
      <w:pageBreakBefore/>
      <w:spacing w:after="240"/>
    </w:pPr>
    <w:rPr>
      <w:b/>
      <w:sz w:val="28"/>
    </w:rPr>
  </w:style>
  <w:style w:type="paragraph" w:customStyle="1" w:styleId="SubsectionHeading">
    <w:name w:val="SubsectionHeading"/>
    <w:pPr>
      <w:spacing w:after="160"/>
    </w:pPr>
    <w:rPr>
      <w:b/>
      <w:sz w:val="24"/>
    </w:rPr>
  </w:style>
  <w:style w:type="paragraph" w:customStyle="1" w:styleId="CustomNormal">
    <w:name w:val="CustomNormal"/>
    <w:pPr>
      <w:spacing w:line="276" w:lineRule="auto" w:after="120"/>
    </w:pPr>
    <w:rPr>
      <w:sz w:val="22"/>
    </w:rPr>
  </w:style>
  <w:style w:type="paragraph" w:customStyle="1" w:styleId="TableCaption">
    <w:name w:val="TableCaption"/>
    <w:pPr>
      <w:spacing w:after="160"/>
      <w:jc w:val="center"/>
    </w:pPr>
    <w:rPr>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Drug-Resistant Tuberculosis Burden Trajectories in India (2024-2034)</dc:title>
  <dc:subject>Drug-Resistant Tuberculosis Forecasting</dc:subject>
  <dc:creator>Siddalingaiah H S</dc:creator>
  <cp:keywords/>
  <dc:description>generated by python-docx</dc:description>
  <cp:lastModifiedBy/>
  <cp:revision>1</cp:revision>
  <dcterms:created xsi:type="dcterms:W3CDTF">2025-12-18T21:11:34Z</dcterms:created>
  <dcterms:modified xsi:type="dcterms:W3CDTF">2013-12-23T23:15:00Z</dcterms:modified>
  <cp:category/>
</cp:coreProperties>
</file>