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2d822ade7bb3088d8ee1c00900430e1c3a5d0f"/>
    <w:p>
      <w:pPr>
        <w:pStyle w:val="Heading1"/>
      </w:pPr>
      <w:r>
        <w:t xml:space="preserve">The Looming Crisis of Primary Drug Resistance: A Multi-Model Forecasting, Meta-Analytical, and Policy Scenario Assessment of Tuberculosis in India (2025–2030)</w:t>
      </w:r>
    </w:p>
    <w:p>
      <w:pPr>
        <w:pStyle w:val="FirstParagraph"/>
      </w:pPr>
      <w:r>
        <w:rPr>
          <w:b/>
          <w:bCs/>
        </w:rPr>
        <w:t xml:space="preserve">Authors:</w:t>
      </w:r>
      <w:r>
        <w:t xml:space="preserve"> </w:t>
      </w:r>
      <w:r>
        <w:t xml:space="preserve">[Author Name/s Placeholder]</w:t>
      </w:r>
      <w:r>
        <w:br/>
      </w:r>
      <w:r>
        <w:rPr>
          <w:b/>
          <w:bCs/>
        </w:rPr>
        <w:t xml:space="preserve">Affiliation:</w:t>
      </w:r>
      <w:r>
        <w:t xml:space="preserve"> </w:t>
      </w:r>
      <w:r>
        <w:t xml:space="preserve">[Institution Placeholder]</w:t>
      </w:r>
      <w:r>
        <w:br/>
      </w:r>
      <w:r>
        <w:rPr>
          <w:b/>
          <w:bCs/>
        </w:rPr>
        <w:t xml:space="preserve">Date:</w:t>
      </w:r>
      <w:r>
        <w:t xml:space="preserve"> </w:t>
      </w:r>
      <w:r>
        <w:t xml:space="preserve">December 14, 2025</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India bears the highest global burden of tuberculosis (TB) and multidrug-resistant TB (MDR-TB). Despite significant progress under the National TB Elimination Programme (NTEP), the post-pandemic recovery has revealed a surging notification trajectory. A critical, under-addressed threat is the shift from acquired drug resistance (due to non-adherence) to primary transmission of resistant strains in the community. As the 2025 elimination deadline approaches, robust evidence is required to guide strategic realignment.</w:t>
      </w:r>
    </w:p>
    <w:p>
      <w:pPr>
        <w:pStyle w:val="BodyText"/>
      </w:pPr>
      <w:r>
        <w:rPr>
          <w:b/>
          <w:bCs/>
        </w:rPr>
        <w:t xml:space="preserve">Methods:</w:t>
      </w:r>
      <w:r>
        <w:t xml:space="preserve"> </w:t>
      </w:r>
      <w:r>
        <w:t xml:space="preserve">We employed a mixed-methods approach integrating advanced predictive modeling with original evidence synthesis. First, we conducted a</w:t>
      </w:r>
      <w:r>
        <w:t xml:space="preserve"> </w:t>
      </w:r>
      <w:r>
        <w:rPr>
          <w:b/>
          <w:bCs/>
        </w:rPr>
        <w:t xml:space="preserve">rapid meta-analysis</w:t>
      </w:r>
      <w:r>
        <w:t xml:space="preserve"> </w:t>
      </w:r>
      <w:r>
        <w:t xml:space="preserve">of five recent cross-sectional studies and prevalence surveys (2019–2024; N &gt; 150,000) to validate the baseline prevalence of primary drug resistance. Second, we developed a</w:t>
      </w:r>
      <w:r>
        <w:t xml:space="preserve"> </w:t>
      </w:r>
      <w:r>
        <w:rPr>
          <w:b/>
          <w:bCs/>
        </w:rPr>
        <w:t xml:space="preserve">Multi-Model Machine Learning Ensemble</w:t>
      </w:r>
      <w:r>
        <w:t xml:space="preserve"> </w:t>
      </w:r>
      <w:r>
        <w:t xml:space="preserve">(combining Holt-Winters Exponential Smoothing, ARIMA, XGBoost, and Bayesian Ridge Regression) to forecast national TB notifications through 2030, stratified by state and patient history (new vs. retreatment). Finally, we performed a</w:t>
      </w:r>
      <w:r>
        <w:t xml:space="preserve"> </w:t>
      </w:r>
      <w:r>
        <w:rPr>
          <w:b/>
          <w:bCs/>
        </w:rPr>
        <w:t xml:space="preserve">policy sensitivity analysis</w:t>
      </w:r>
      <w:r>
        <w:t xml:space="preserve"> </w:t>
      </w:r>
      <w:r>
        <w:t xml:space="preserve">simulating three intervention scenarios: Status Quo, Universal Treatment Optimization (BPaL/M), and a Combined Prevention Strategy (Active Case Finding + TPT).</w:t>
      </w:r>
    </w:p>
    <w:p>
      <w:pPr>
        <w:pStyle w:val="BodyText"/>
      </w:pPr>
      <w:r>
        <w:rPr>
          <w:b/>
          <w:bCs/>
        </w:rPr>
        <w:t xml:space="preserve">Results:</w:t>
      </w:r>
      <w:r>
        <w:t xml:space="preserve"> </w:t>
      </w:r>
      <w:r>
        <w:t xml:space="preserve">Our meta-analysis identified a consistent baseline primary resistance rate of ~3.6% (95% CI: 3.5–3.8%) in new cases, validating the input parameters for our forecast. Under the Status Quo, total TB notifications are projected to rise from</w:t>
      </w:r>
      <w:r>
        <w:t xml:space="preserve"> </w:t>
      </w:r>
      <w:r>
        <w:rPr>
          <w:b/>
          <w:bCs/>
        </w:rPr>
        <w:t xml:space="preserve">2.59 million</w:t>
      </w:r>
      <w:r>
        <w:t xml:space="preserve"> </w:t>
      </w:r>
      <w:r>
        <w:t xml:space="preserve">in 2025 (95% CI: 2.19–2.99M) to approximately</w:t>
      </w:r>
      <w:r>
        <w:t xml:space="preserve"> </w:t>
      </w:r>
      <w:r>
        <w:rPr>
          <w:b/>
          <w:bCs/>
        </w:rPr>
        <w:t xml:space="preserve">3.00 million</w:t>
      </w:r>
      <w:r>
        <w:t xml:space="preserve"> </w:t>
      </w:r>
      <w:r>
        <w:t xml:space="preserve">by 2030. Concurrently, the annual burden of MDR/RR-TB is forecasted to reach</w:t>
      </w:r>
      <w:r>
        <w:t xml:space="preserve"> </w:t>
      </w:r>
      <w:r>
        <w:rPr>
          <w:b/>
          <w:bCs/>
        </w:rPr>
        <w:t xml:space="preserve">∼158,914 cases</w:t>
      </w:r>
      <w:r>
        <w:t xml:space="preserve"> </w:t>
      </w:r>
      <w:r>
        <w:t xml:space="preserve">by 2030. Crucially, our model reveals a</w:t>
      </w:r>
      <w:r>
        <w:t xml:space="preserve"> </w:t>
      </w:r>
      <w:r>
        <w:t xml:space="preserve">“New Case Paradox”</w:t>
      </w:r>
      <w:r>
        <w:t xml:space="preserve">:</w:t>
      </w:r>
      <w:r>
        <w:t xml:space="preserve"> </w:t>
      </w:r>
      <w:r>
        <w:rPr>
          <w:b/>
          <w:bCs/>
        </w:rPr>
        <w:t xml:space="preserve">67% (∼106,000)</w:t>
      </w:r>
      <w:r>
        <w:t xml:space="preserve"> </w:t>
      </w:r>
      <w:r>
        <w:t xml:space="preserve">of these future DR-TB cases will occur in</w:t>
      </w:r>
      <w:r>
        <w:t xml:space="preserve"> </w:t>
      </w:r>
      <w:r>
        <w:rPr>
          <w:i/>
          <w:iCs/>
        </w:rPr>
        <w:t xml:space="preserve">new</w:t>
      </w:r>
      <w:r>
        <w:t xml:space="preserve"> </w:t>
      </w:r>
      <w:r>
        <w:t xml:space="preserve">patients with no prior treatment history, confirming dominant community transmission. State-level heterogeneity is profound (Figure 2): while Uttar Pradesh dominates in absolute volume, states like Maharashtra and Delhi exhibit disproportionately high</w:t>
      </w:r>
      <w:r>
        <w:t xml:space="preserve"> </w:t>
      </w:r>
      <w:r>
        <w:rPr>
          <w:i/>
          <w:iCs/>
        </w:rPr>
        <w:t xml:space="preserve">intensity</w:t>
      </w:r>
      <w:r>
        <w:t xml:space="preserve"> </w:t>
      </w:r>
      <w:r>
        <w:t xml:space="preserve">of resistance, confirming localized transmission hotspots. Demographic heatmaps (Figure 5) highlight that the</w:t>
      </w:r>
      <w:r>
        <w:t xml:space="preserve"> </w:t>
      </w:r>
      <w:r>
        <w:rPr>
          <w:b/>
          <w:bCs/>
        </w:rPr>
        <w:t xml:space="preserve">15–45 age group</w:t>
      </w:r>
      <w:r>
        <w:t xml:space="preserve"> </w:t>
      </w:r>
      <w:r>
        <w:t xml:space="preserve">carries the highest caseload in these states, maximizing economic impact. Scenario modeling demonstrates that distinct policy choices yield vastly different futures: while Treatment Optimization alone reduces the 2030 burden by only 11%, a Combination Strategy prioritizing upstream transmission blocking could avert</w:t>
      </w:r>
      <w:r>
        <w:t xml:space="preserve"> </w:t>
      </w:r>
      <w:r>
        <w:rPr>
          <w:b/>
          <w:bCs/>
        </w:rPr>
        <w:t xml:space="preserve">∼1.2 million cases (47% reduction)</w:t>
      </w:r>
      <w:r>
        <w:t xml:space="preserve">.</w:t>
      </w:r>
    </w:p>
    <w:p>
      <w:pPr>
        <w:pStyle w:val="BodyText"/>
      </w:pPr>
      <w:r>
        <w:rPr>
          <w:b/>
          <w:bCs/>
        </w:rPr>
        <w:t xml:space="preserve">Conclusion:</w:t>
      </w:r>
      <w:r>
        <w:t xml:space="preserve"> </w:t>
      </w:r>
      <w:r>
        <w:t xml:space="preserve">The epicenter of India’s DR-TB epidemic has shifted. Primary transmission is now the dominant driver, rendering risk-based screening policies obsolete. Achieving elimination requires a radical pivot to a</w:t>
      </w:r>
      <w:r>
        <w:t xml:space="preserve"> </w:t>
      </w:r>
      <w:r>
        <w:t xml:space="preserve">“Search, Test, and Prevent”</w:t>
      </w:r>
      <w:r>
        <w:t xml:space="preserve"> </w:t>
      </w:r>
      <w:r>
        <w:t xml:space="preserve">paradigm: Universal Upfront Molecular Testing (NAAT) for</w:t>
      </w:r>
      <w:r>
        <w:t xml:space="preserve"> </w:t>
      </w:r>
      <w:r>
        <w:rPr>
          <w:i/>
          <w:iCs/>
        </w:rPr>
        <w:t xml:space="preserve">every</w:t>
      </w:r>
      <w:r>
        <w:t xml:space="preserve"> </w:t>
      </w:r>
      <w:r>
        <w:t xml:space="preserve">patient and mass Tuberculosis Preventive Treatment (TPT) to cut the transmission chain.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Tuberculosis (TB) remains the world’s deadliest infectious killer, and India stands at the center of this global crisis. Accountable for 27% of the global TB burden and nearly a third of all Multidrug-Resistant/Rifampicin-Resistant TB (MDR/RR-TB) cases, India’s success or failure determines the global elimination trajectory.¹ The Government of India has demonstrated unprecedented political will, creating the</w:t>
      </w:r>
      <w:r>
        <w:t xml:space="preserve"> </w:t>
      </w:r>
      <w:r>
        <w:t xml:space="preserve">“End TB”</w:t>
      </w:r>
      <w:r>
        <w:t xml:space="preserve"> </w:t>
      </w:r>
      <w:r>
        <w:t xml:space="preserve">strategy with a target to eliminate TB by 2025—five years ahead of the Sustainable Development Goals (SDG). However, the path to this ambitious goal is fraught with epidemiological complexities.</w:t>
      </w:r>
    </w:p>
    <w:p>
      <w:pPr>
        <w:pStyle w:val="BodyText"/>
      </w:pPr>
      <w:r>
        <w:t xml:space="preserve">The COVID-19 pandemic induced a</w:t>
      </w:r>
      <w:r>
        <w:t xml:space="preserve"> </w:t>
      </w:r>
      <w:r>
        <w:t xml:space="preserve">“perfect storm”</w:t>
      </w:r>
      <w:r>
        <w:t xml:space="preserve"> </w:t>
      </w:r>
      <w:r>
        <w:t xml:space="preserve">for TB control.² Lockdowns and health system diversions in 2020–2021 led to a massive drop in notifications, accumulating a pool of undetected, untreated cases in the community. As services resumed, 2022–2024 witnessed record-breaking notification rates, interpreted variously as a</w:t>
      </w:r>
      <w:r>
        <w:t xml:space="preserve"> </w:t>
      </w:r>
      <w:r>
        <w:t xml:space="preserve">“catch-up”</w:t>
      </w:r>
      <w:r>
        <w:t xml:space="preserve"> </w:t>
      </w:r>
      <w:r>
        <w:t xml:space="preserve">of old cases or a true rise in incidence due to unchecked transmission. Distinguishing between these scenarios is critical for future planning.</w:t>
      </w:r>
    </w:p>
    <w:p>
      <w:pPr>
        <w:pStyle w:val="BodyText"/>
      </w:pPr>
      <w:r>
        <w:t xml:space="preserve">More alarmingly, the nature of the epidemic is evolving. Historically, MDR-TB was viewed as a consequence of poor adherence in patients undergoing retreatment (</w:t>
      </w:r>
      <w:r>
        <w:t xml:space="preserve">“Acquired Drug Resistance”</w:t>
      </w:r>
      <w:r>
        <w:t xml:space="preserve">). Consequently, diagnostic algorithms prioritized drug susceptibility testing (DST) for retreatment cases. However, recent genomic and epidemiological evidence suggests a paradigm shift: resistant strains are now being transmitted directly to naïve hosts (</w:t>
      </w:r>
      <w:r>
        <w:t xml:space="preserve">“Primary Drug Resistance”</w:t>
      </w:r>
      <w:r>
        <w:t xml:space="preserve">).³ If true, current policies that reserve molecular diagnostics for high-risk groups may be missing the majority of the resistant burden.</w:t>
      </w:r>
    </w:p>
    <w:p>
      <w:pPr>
        <w:pStyle w:val="BodyText"/>
      </w:pPr>
      <w:r>
        <w:t xml:space="preserve">Existing forecasting models often rely on simple linear projections or national aggregates, failing to capture the non-linear recovery emerging from the pandemic or the vast heterogeneity across India’s states.⁴ Furthermore, while novel short-course regimens like BPaL (Bedaquiline, Pretomanid, Linezolid) promise better cure rates, their impact on community transmission relative to preventive interventions remains unquantified.</w:t>
      </w:r>
    </w:p>
    <w:p>
      <w:pPr>
        <w:pStyle w:val="BodyText"/>
      </w:pPr>
      <w:r>
        <w:t xml:space="preserve">This study seeks to fill these evidence gaps through a comprehensive, multi-layered analysis. We aimed to: (1) Synthesize original evidence from recent literature to validate the prevalence of primary resistance; (2) Generate robust, state-stratified forecasts of India’s total and DR-TB burden up to 2030 using advanced machine learning ensembles; and (3) Quantify the</w:t>
      </w:r>
      <w:r>
        <w:t xml:space="preserve"> </w:t>
      </w:r>
      <w:r>
        <w:t xml:space="preserve">“cost of inaction”</w:t>
      </w:r>
      <w:r>
        <w:t xml:space="preserve"> </w:t>
      </w:r>
      <w:r>
        <w:t xml:space="preserve">versus the benefit of strategic policy shifts through scenario analysis.</w:t>
      </w:r>
    </w:p>
    <w:bookmarkEnd w:id="10"/>
    <w:bookmarkStart w:id="16" w:name="methodology"/>
    <w:p>
      <w:pPr>
        <w:pStyle w:val="Heading2"/>
      </w:pPr>
      <w:r>
        <w:t xml:space="preserve">2. Methodology</w:t>
      </w:r>
    </w:p>
    <w:bookmarkStart w:id="11" w:name="Xdfc0b489571cfa567f8ecb9c80a15363e18a879"/>
    <w:p>
      <w:pPr>
        <w:pStyle w:val="Heading3"/>
      </w:pPr>
      <w:r>
        <w:t xml:space="preserve">2.1 Evidence Synthesis: Original Rapid Meta-Analysis</w:t>
      </w:r>
    </w:p>
    <w:p>
      <w:pPr>
        <w:pStyle w:val="FirstParagraph"/>
      </w:pPr>
      <w:r>
        <w:t xml:space="preserve">Before initiating our forecasting models, it was essential to ground our epidemiological assumptions in empirical reality. We conducted a</w:t>
      </w:r>
      <w:r>
        <w:t xml:space="preserve"> </w:t>
      </w:r>
      <w:r>
        <w:rPr>
          <w:b/>
          <w:bCs/>
        </w:rPr>
        <w:t xml:space="preserve">Rapid Meta-Analysis</w:t>
      </w:r>
      <w:r>
        <w:t xml:space="preserve"> </w:t>
      </w:r>
      <w:r>
        <w:t xml:space="preserve">of literature published between January 2019 and December 2024 to determine the pooled prevalence of MDR/RR-TB among</w:t>
      </w:r>
      <w:r>
        <w:t xml:space="preserve"> </w:t>
      </w:r>
      <w:r>
        <w:rPr>
          <w:i/>
          <w:iCs/>
        </w:rPr>
        <w:t xml:space="preserve">new</w:t>
      </w:r>
      <w:r>
        <w:t xml:space="preserve"> </w:t>
      </w:r>
      <w:r>
        <w:t xml:space="preserve">(treatment-naïve) TB patients in India.</w:t>
      </w:r>
      <w:r>
        <w:t xml:space="preserve"> </w:t>
      </w:r>
      <w:r>
        <w:t xml:space="preserve">*</w:t>
      </w:r>
      <w:r>
        <w:t xml:space="preserve"> </w:t>
      </w:r>
      <w:r>
        <w:rPr>
          <w:b/>
          <w:bCs/>
        </w:rPr>
        <w:t xml:space="preserve">Search Strategy:</w:t>
      </w:r>
      <w:r>
        <w:t xml:space="preserve"> </w:t>
      </w:r>
      <w:r>
        <w:t xml:space="preserve">We searched PubMed, Google Scholar, and major prevalence survey reports using keywords</w:t>
      </w:r>
      <w:r>
        <w:t xml:space="preserve"> </w:t>
      </w:r>
      <w:r>
        <w:t xml:space="preserve">“MDR-TB,”</w:t>
      </w:r>
      <w:r>
        <w:t xml:space="preserve"> </w:t>
      </w:r>
      <w:r>
        <w:t xml:space="preserve">“Prevalence,”</w:t>
      </w:r>
      <w:r>
        <w:t xml:space="preserve"> </w:t>
      </w:r>
      <w:r>
        <w:t xml:space="preserve">“Primary Resistance,”</w:t>
      </w:r>
      <w:r>
        <w:t xml:space="preserve"> </w:t>
      </w:r>
      <w:r>
        <w:t xml:space="preserve">and</w:t>
      </w:r>
      <w:r>
        <w:t xml:space="preserve"> </w:t>
      </w:r>
      <w:r>
        <w:t xml:space="preserve">“India.”</w:t>
      </w:r>
      <w:r>
        <w:t xml:space="preserve"> </w:t>
      </w:r>
      <w:r>
        <w:t xml:space="preserve">*</w:t>
      </w:r>
      <w:r>
        <w:t xml:space="preserve"> </w:t>
      </w:r>
      <w:r>
        <w:rPr>
          <w:b/>
          <w:bCs/>
        </w:rPr>
        <w:t xml:space="preserve">Selection Criteria:</w:t>
      </w:r>
      <w:r>
        <w:t xml:space="preserve"> </w:t>
      </w:r>
      <w:r>
        <w:t xml:space="preserve">We selected five key studies representing diverse geographies and sample sizes (Total N &gt; 150,000), including the landmark</w:t>
      </w:r>
      <w:r>
        <w:t xml:space="preserve"> </w:t>
      </w:r>
      <w:r>
        <w:rPr>
          <w:i/>
          <w:iCs/>
        </w:rPr>
        <w:t xml:space="preserve">National TB Prevalence Survey (2019–2021)</w:t>
      </w:r>
      <w:r>
        <w:t xml:space="preserve"> </w:t>
      </w:r>
      <w:r>
        <w:t xml:space="preserve">and regional studies from Maharashtra, Mumbai, and Puducherry.</w:t>
      </w:r>
      <w:r>
        <w:t xml:space="preserve"> </w:t>
      </w:r>
      <w:r>
        <w:t xml:space="preserve">*</w:t>
      </w:r>
      <w:r>
        <w:t xml:space="preserve"> </w:t>
      </w:r>
      <w:r>
        <w:rPr>
          <w:b/>
          <w:bCs/>
        </w:rPr>
        <w:t xml:space="preserve">Analysis:</w:t>
      </w:r>
      <w:r>
        <w:t xml:space="preserve"> </w:t>
      </w:r>
      <w:r>
        <w:t xml:space="preserve">We extracted raw case counts and sample sizes to calculate weighted prevalence rates and 95% Wilson Score Intervals. This evidence synthesis (Figure 4) served as the calibration anchor for the</w:t>
      </w:r>
      <w:r>
        <w:t xml:space="preserve"> </w:t>
      </w:r>
      <w:r>
        <w:t xml:space="preserve">“New Case”</w:t>
      </w:r>
      <w:r>
        <w:t xml:space="preserve"> </w:t>
      </w:r>
      <w:r>
        <w:t xml:space="preserve">resistance parameter in our forecasting model.</w:t>
      </w:r>
    </w:p>
    <w:bookmarkEnd w:id="11"/>
    <w:bookmarkStart w:id="12" w:name="data-sources-for-forecasting"/>
    <w:p>
      <w:pPr>
        <w:pStyle w:val="Heading3"/>
      </w:pPr>
      <w:r>
        <w:t xml:space="preserve">2.2 Data Sources for Forecasting</w:t>
      </w:r>
    </w:p>
    <w:p>
      <w:pPr>
        <w:pStyle w:val="FirstParagraph"/>
      </w:pPr>
      <w:r>
        <w:t xml:space="preserve">We constructed a comprehensive longitudinal dataset (2017–2024) by synthesizing data from:</w:t>
      </w:r>
      <w:r>
        <w:t xml:space="preserve"> </w:t>
      </w:r>
      <w:r>
        <w:t xml:space="preserve">*</w:t>
      </w:r>
      <w:r>
        <w:t xml:space="preserve"> </w:t>
      </w:r>
      <w:r>
        <w:rPr>
          <w:b/>
          <w:bCs/>
        </w:rPr>
        <w:t xml:space="preserve">Ni-kshay Dashboard &amp; India TB Reports:</w:t>
      </w:r>
      <w:r>
        <w:t xml:space="preserve"> </w:t>
      </w:r>
      <w:r>
        <w:t xml:space="preserve">For granular state-level annual notifications and treatment outcomes.⁵</w:t>
      </w:r>
      <w:r>
        <w:t xml:space="preserve"> </w:t>
      </w:r>
      <w:r>
        <w:t xml:space="preserve">*</w:t>
      </w:r>
      <w:r>
        <w:t xml:space="preserve"> </w:t>
      </w:r>
      <w:r>
        <w:rPr>
          <w:b/>
          <w:bCs/>
        </w:rPr>
        <w:t xml:space="preserve">WHO Global TB Reports:</w:t>
      </w:r>
      <w:r>
        <w:t xml:space="preserve"> </w:t>
      </w:r>
      <w:r>
        <w:t xml:space="preserve">For national-level burden estimates and historic trends.⁶</w:t>
      </w:r>
      <w:r>
        <w:t xml:space="preserve"> </w:t>
      </w:r>
      <w:r>
        <w:t xml:space="preserve">*</w:t>
      </w:r>
      <w:r>
        <w:t xml:space="preserve"> </w:t>
      </w:r>
      <w:r>
        <w:rPr>
          <w:b/>
          <w:bCs/>
        </w:rPr>
        <w:t xml:space="preserve">NFHS-5 (2019-21):</w:t>
      </w:r>
      <w:r>
        <w:t xml:space="preserve"> </w:t>
      </w:r>
      <w:r>
        <w:t xml:space="preserve">For state-level demographic and socio-economic stratifiers.</w:t>
      </w:r>
      <w:r>
        <w:t xml:space="preserve"> </w:t>
      </w:r>
      <w:r>
        <w:t xml:space="preserve">*</w:t>
      </w:r>
      <w:r>
        <w:t xml:space="preserve"> </w:t>
      </w:r>
      <w:r>
        <w:rPr>
          <w:b/>
          <w:bCs/>
        </w:rPr>
        <w:t xml:space="preserve">Population Projections:</w:t>
      </w:r>
      <w:r>
        <w:t xml:space="preserve"> </w:t>
      </w:r>
      <w:r>
        <w:t xml:space="preserve">Census of India projections to 2036 were used to calculate incidence rates per 100,000 population.</w:t>
      </w:r>
    </w:p>
    <w:bookmarkEnd w:id="12"/>
    <w:bookmarkStart w:id="13" w:name="X27e43b0f68dd35bd1048505ea51f98dc895f249"/>
    <w:p>
      <w:pPr>
        <w:pStyle w:val="Heading3"/>
      </w:pPr>
      <w:r>
        <w:t xml:space="preserve">2.3 The Multi-Model Machine Learning Ensemble</w:t>
      </w:r>
    </w:p>
    <w:p>
      <w:pPr>
        <w:pStyle w:val="FirstParagraph"/>
      </w:pPr>
      <w:r>
        <w:t xml:space="preserve">Forecasting a post-pandemic trajectory requires handling high volatility. Single models are prone to overfitting (treating the 2020 dip as a trend) or underfitting (ignoring the 2023 surge). We employed an</w:t>
      </w:r>
      <w:r>
        <w:t xml:space="preserve"> </w:t>
      </w:r>
      <w:r>
        <w:rPr>
          <w:b/>
          <w:bCs/>
        </w:rPr>
        <w:t xml:space="preserve">Ensemble Approach</w:t>
      </w:r>
      <w:r>
        <w:t xml:space="preserve"> </w:t>
      </w:r>
      <w:r>
        <w:t xml:space="preserve">that balances these risks:</w:t>
      </w:r>
    </w:p>
    <w:p>
      <w:pPr>
        <w:pStyle w:val="Compact"/>
        <w:numPr>
          <w:ilvl w:val="0"/>
          <w:numId w:val="1001"/>
        </w:numPr>
      </w:pPr>
      <w:r>
        <w:rPr>
          <w:b/>
          <w:bCs/>
        </w:rPr>
        <w:t xml:space="preserve">Holt-Winters Exponential Smoothing (Damped Trend):</w:t>
      </w:r>
      <w:r>
        <w:t xml:space="preserve"> </w:t>
      </w:r>
      <w:r>
        <w:t xml:space="preserve">Used to capture the underlying level and secular trend of notifications while dampening extreme growth rates to preventing unrealistic exponential explosions in the long term.</w:t>
      </w:r>
    </w:p>
    <w:p>
      <w:pPr>
        <w:pStyle w:val="Compact"/>
        <w:numPr>
          <w:ilvl w:val="0"/>
          <w:numId w:val="1001"/>
        </w:numPr>
      </w:pPr>
      <w:r>
        <w:rPr>
          <w:b/>
          <w:bCs/>
        </w:rPr>
        <w:t xml:space="preserve">ARIMA (Auto-Regressive Integrated Moving Average):</w:t>
      </w:r>
      <w:r>
        <w:t xml:space="preserve"> </w:t>
      </w:r>
      <w:r>
        <w:t xml:space="preserve">Employed to model the temporal autocorrelation in the data, effective for capturing the</w:t>
      </w:r>
      <w:r>
        <w:t xml:space="preserve"> </w:t>
      </w:r>
      <w:r>
        <w:t xml:space="preserve">“memory”</w:t>
      </w:r>
      <w:r>
        <w:t xml:space="preserve"> </w:t>
      </w:r>
      <w:r>
        <w:t xml:space="preserve">of the system.</w:t>
      </w:r>
    </w:p>
    <w:p>
      <w:pPr>
        <w:pStyle w:val="Compact"/>
        <w:numPr>
          <w:ilvl w:val="0"/>
          <w:numId w:val="1001"/>
        </w:numPr>
      </w:pPr>
      <w:r>
        <w:rPr>
          <w:b/>
          <w:bCs/>
        </w:rPr>
        <w:t xml:space="preserve">XGBoost (Extreme Gradient Boosting - Linear Booster):</w:t>
      </w:r>
      <w:r>
        <w:t xml:space="preserve"> </w:t>
      </w:r>
      <w:r>
        <w:t xml:space="preserve">A machine learning algorithm used here as a robust extrapolator. Unlike decision trees which cannot extrapolate beyond training ranges, the linear booster captures the structural growth trend while being robust to outliers.</w:t>
      </w:r>
    </w:p>
    <w:p>
      <w:pPr>
        <w:pStyle w:val="Compact"/>
        <w:numPr>
          <w:ilvl w:val="0"/>
          <w:numId w:val="1001"/>
        </w:numPr>
      </w:pPr>
      <w:r>
        <w:rPr>
          <w:b/>
          <w:bCs/>
        </w:rPr>
        <w:t xml:space="preserve">Bayesian Ridge Regression (Polynomial Features):</w:t>
      </w:r>
      <w:r>
        <w:t xml:space="preserve"> </w:t>
      </w:r>
      <w:r>
        <w:t xml:space="preserve">A probabilistic model that fits a polynomial curve (degree 2) to the data. Crucially, it provides posterior probability distributions, allowing us to generate</w:t>
      </w:r>
      <w:r>
        <w:t xml:space="preserve"> </w:t>
      </w:r>
      <w:r>
        <w:rPr>
          <w:b/>
          <w:bCs/>
        </w:rPr>
        <w:t xml:space="preserve">95% Credible Intervals</w:t>
      </w:r>
      <w:r>
        <w:t xml:space="preserve"> </w:t>
      </w:r>
      <w:r>
        <w:t xml:space="preserve">(Uncertainty Cones) for our forecasts rather than just point estimates.</w:t>
      </w:r>
    </w:p>
    <w:p>
      <w:pPr>
        <w:pStyle w:val="FirstParagraph"/>
      </w:pPr>
      <w:r>
        <w:rPr>
          <w:b/>
          <w:bCs/>
        </w:rPr>
        <w:t xml:space="preserve">Ensemble Weighting:</w:t>
      </w:r>
      <w:r>
        <w:t xml:space="preserve"> </w:t>
      </w:r>
      <w:r>
        <w:t xml:space="preserve">The final</w:t>
      </w:r>
      <w:r>
        <w:t xml:space="preserve"> </w:t>
      </w:r>
      <w:r>
        <w:t xml:space="preserve">“Consensus Forecast”</w:t>
      </w:r>
      <w:r>
        <w:t xml:space="preserve"> </w:t>
      </w:r>
      <w:r>
        <w:t xml:space="preserve">was derived by averaging the outputs of these models, weighted by their Root Mean Squared Error (RMSE) performance on a hold-out validation set (2023–2024 data).</w:t>
      </w:r>
    </w:p>
    <w:bookmarkEnd w:id="13"/>
    <w:bookmarkStart w:id="14" w:name="risk-stratified-dr-tb-projection-model"/>
    <w:p>
      <w:pPr>
        <w:pStyle w:val="Heading3"/>
      </w:pPr>
      <w:r>
        <w:t xml:space="preserve">2.4 Risk-Stratified DR-TB Projection Model</w:t>
      </w:r>
    </w:p>
    <w:p>
      <w:pPr>
        <w:pStyle w:val="FirstParagraph"/>
      </w:pPr>
      <w:r>
        <w:t xml:space="preserve">We developed a deterministic sub-model to forecast the burden of drug resistance. To capture regional heterogeneity, we applied</w:t>
      </w:r>
      <w:r>
        <w:t xml:space="preserve"> </w:t>
      </w:r>
      <w:r>
        <w:rPr>
          <w:b/>
          <w:bCs/>
        </w:rPr>
        <w:t xml:space="preserve">state-specific risk modifiers</w:t>
      </w:r>
      <w:r>
        <w:t xml:space="preserve"> </w:t>
      </w:r>
      <w:r>
        <w:t xml:space="preserve">derived from recent programmatic data (2024), scaling the national baseline rates based on observed DR-TB intensity.</w:t>
      </w:r>
      <w:r>
        <w:t xml:space="preserve"> </w:t>
      </w:r>
      <w:r>
        <w:t xml:space="preserve">*</w:t>
      </w:r>
      <w:r>
        <w:t xml:space="preserve"> </w:t>
      </w:r>
      <w:r>
        <w:rPr>
          <w:b/>
          <w:bCs/>
        </w:rPr>
        <w:t xml:space="preserve">Stratification:</w:t>
      </w:r>
      <w:r>
        <w:t xml:space="preserve"> </w:t>
      </w:r>
      <w:r>
        <w:t xml:space="preserve">The total forecasted notifications were split into</w:t>
      </w:r>
      <w:r>
        <w:t xml:space="preserve"> </w:t>
      </w:r>
      <w:r>
        <w:rPr>
          <w:b/>
          <w:bCs/>
        </w:rPr>
        <w:t xml:space="preserve">New (87%)</w:t>
      </w:r>
      <w:r>
        <w:t xml:space="preserve"> </w:t>
      </w:r>
      <w:r>
        <w:t xml:space="preserve">and</w:t>
      </w:r>
      <w:r>
        <w:t xml:space="preserve"> </w:t>
      </w:r>
      <w:r>
        <w:rPr>
          <w:b/>
          <w:bCs/>
        </w:rPr>
        <w:t xml:space="preserve">Retreatment (13%)</w:t>
      </w:r>
      <w:r>
        <w:t xml:space="preserve"> </w:t>
      </w:r>
      <w:r>
        <w:t xml:space="preserve">cohorts based on historic averages.</w:t>
      </w:r>
      <w:r>
        <w:t xml:space="preserve"> </w:t>
      </w:r>
      <w:r>
        <w:t xml:space="preserve">*</w:t>
      </w:r>
      <w:r>
        <w:t xml:space="preserve"> </w:t>
      </w:r>
      <w:r>
        <w:rPr>
          <w:b/>
          <w:bCs/>
        </w:rPr>
        <w:t xml:space="preserve">Resistance Rates:</w:t>
      </w:r>
      <w:r>
        <w:t xml:space="preserve"> </w:t>
      </w:r>
      <w:r>
        <w:t xml:space="preserve">We applied differential resistance trajectories:</w:t>
      </w:r>
      <w:r>
        <w:t xml:space="preserve"> </w:t>
      </w:r>
      <w:r>
        <w:t xml:space="preserve">*</w:t>
      </w:r>
      <w:r>
        <w:t xml:space="preserve"> </w:t>
      </w:r>
      <w:r>
        <w:rPr>
          <w:i/>
          <w:iCs/>
        </w:rPr>
        <w:t xml:space="preserve">New Cases:</w:t>
      </w:r>
      <w:r>
        <w:t xml:space="preserve"> </w:t>
      </w:r>
      <w:r>
        <w:t xml:space="preserve">Rising linearly from a baseline of</w:t>
      </w:r>
      <w:r>
        <w:t xml:space="preserve"> </w:t>
      </w:r>
      <w:r>
        <w:rPr>
          <w:b/>
          <w:bCs/>
        </w:rPr>
        <w:t xml:space="preserve">3.6%</w:t>
      </w:r>
      <w:r>
        <w:t xml:space="preserve"> </w:t>
      </w:r>
      <w:r>
        <w:t xml:space="preserve">(validated by our meta-analysis) to</w:t>
      </w:r>
      <w:r>
        <w:t xml:space="preserve"> </w:t>
      </w:r>
      <w:r>
        <w:rPr>
          <w:b/>
          <w:bCs/>
        </w:rPr>
        <w:t xml:space="preserve">4.2%</w:t>
      </w:r>
      <w:r>
        <w:t xml:space="preserve"> </w:t>
      </w:r>
      <w:r>
        <w:t xml:space="preserve">by 2030, reflecting the slow accumulation of primary resistance in the ecosystem.</w:t>
      </w:r>
      <w:r>
        <w:t xml:space="preserve"> </w:t>
      </w:r>
      <w:r>
        <w:t xml:space="preserve">*</w:t>
      </w:r>
      <w:r>
        <w:t xml:space="preserve"> </w:t>
      </w:r>
      <w:r>
        <w:rPr>
          <w:i/>
          <w:iCs/>
        </w:rPr>
        <w:t xml:space="preserve">Retreatment Cases:</w:t>
      </w:r>
      <w:r>
        <w:t xml:space="preserve"> </w:t>
      </w:r>
      <w:r>
        <w:t xml:space="preserve">Rising from</w:t>
      </w:r>
      <w:r>
        <w:t xml:space="preserve"> </w:t>
      </w:r>
      <w:r>
        <w:rPr>
          <w:b/>
          <w:bCs/>
        </w:rPr>
        <w:t xml:space="preserve">13.0%</w:t>
      </w:r>
      <w:r>
        <w:t xml:space="preserve"> </w:t>
      </w:r>
      <w:r>
        <w:t xml:space="preserve">to</w:t>
      </w:r>
      <w:r>
        <w:t xml:space="preserve"> </w:t>
      </w:r>
      <w:r>
        <w:rPr>
          <w:b/>
          <w:bCs/>
        </w:rPr>
        <w:t xml:space="preserve">14.0%</w:t>
      </w:r>
      <w:r>
        <w:t xml:space="preserve"> </w:t>
      </w:r>
      <w:r>
        <w:t xml:space="preserve">by 2030.</w:t>
      </w:r>
      <w:r>
        <w:t xml:space="preserve"> </w:t>
      </w:r>
      <w:r>
        <w:t xml:space="preserve">*</w:t>
      </w:r>
      <w:r>
        <w:t xml:space="preserve"> </w:t>
      </w:r>
      <w:r>
        <w:rPr>
          <w:b/>
          <w:bCs/>
        </w:rPr>
        <w:t xml:space="preserve">Calculated Output:</w:t>
      </w:r>
      <w:r>
        <w:t xml:space="preserve"> </w:t>
      </w:r>
      <m:oMath>
        <m:r>
          <m:t>B</m:t>
        </m:r>
        <m:r>
          <m:t>u</m:t>
        </m:r>
        <m:r>
          <m:t>r</m:t>
        </m:r>
        <m:r>
          <m:t>d</m:t>
        </m:r>
        <m:r>
          <m:t>e</m:t>
        </m:r>
        <m:sSub>
          <m:e>
            <m:r>
              <m:t>n</m:t>
            </m:r>
          </m:e>
          <m:sub>
            <m:r>
              <m:t>D</m:t>
            </m:r>
            <m:r>
              <m:t>R</m:t>
            </m:r>
          </m:sub>
        </m:sSub>
        <m:r>
          <m:rPr>
            <m:sty m:val="p"/>
          </m:rPr>
          <m:t>=</m:t>
        </m:r>
        <m:r>
          <m:rPr>
            <m:sty m:val="p"/>
          </m:rPr>
          <m:t>(</m:t>
        </m:r>
        <m:r>
          <m:t>N</m:t>
        </m:r>
        <m:r>
          <m:t>o</m:t>
        </m:r>
        <m:r>
          <m:t>t</m:t>
        </m:r>
        <m:r>
          <m:t>i</m:t>
        </m:r>
        <m:r>
          <m:t>f</m:t>
        </m:r>
        <m:sSub>
          <m:e>
            <m:r>
              <m:t>y</m:t>
            </m:r>
          </m:e>
          <m:sub>
            <m:r>
              <m:t>N</m:t>
            </m:r>
            <m:r>
              <m:t>e</m:t>
            </m:r>
            <m:r>
              <m:t>w</m:t>
            </m:r>
          </m:sub>
        </m:sSub>
        <m:r>
          <m:rPr>
            <m:sty m:val="p"/>
          </m:rPr>
          <m:t>×</m:t>
        </m:r>
        <m:r>
          <m:t>R</m:t>
        </m:r>
        <m:r>
          <m:t>a</m:t>
        </m:r>
        <m:r>
          <m:t>t</m:t>
        </m:r>
        <m:sSub>
          <m:e>
            <m:r>
              <m:t>e</m:t>
            </m:r>
          </m:e>
          <m:sub>
            <m:r>
              <m:t>N</m:t>
            </m:r>
            <m:r>
              <m:t>e</m:t>
            </m:r>
            <m:r>
              <m:t>w</m:t>
            </m:r>
          </m:sub>
        </m:sSub>
        <m:r>
          <m:rPr>
            <m:sty m:val="p"/>
          </m:rPr>
          <m:t>×</m:t>
        </m:r>
        <m:r>
          <m:t>M</m:t>
        </m:r>
        <m:r>
          <m:t>o</m:t>
        </m:r>
        <m:r>
          <m:t>d</m:t>
        </m:r>
        <m:r>
          <m:t>i</m:t>
        </m:r>
        <m:r>
          <m:t>f</m:t>
        </m:r>
        <m:r>
          <m:t>i</m:t>
        </m:r>
        <m:r>
          <m:t>e</m:t>
        </m:r>
        <m:sSub>
          <m:e>
            <m:r>
              <m:t>r</m:t>
            </m:r>
          </m:e>
          <m:sub>
            <m:r>
              <m:t>S</m:t>
            </m:r>
            <m:r>
              <m:t>t</m:t>
            </m:r>
            <m:r>
              <m:t>a</m:t>
            </m:r>
            <m:r>
              <m:t>t</m:t>
            </m:r>
            <m:r>
              <m:t>e</m:t>
            </m:r>
          </m:sub>
        </m:sSub>
        <m:r>
          <m:rPr>
            <m:sty m:val="p"/>
          </m:rPr>
          <m:t>)</m:t>
        </m:r>
        <m:r>
          <m:rPr>
            <m:sty m:val="p"/>
          </m:rPr>
          <m:t>+</m:t>
        </m:r>
        <m:r>
          <m:rPr>
            <m:sty m:val="p"/>
          </m:rPr>
          <m:t>(</m:t>
        </m:r>
        <m:r>
          <m:t>N</m:t>
        </m:r>
        <m:r>
          <m:t>o</m:t>
        </m:r>
        <m:r>
          <m:t>t</m:t>
        </m:r>
        <m:r>
          <m:t>i</m:t>
        </m:r>
        <m:r>
          <m:t>f</m:t>
        </m:r>
        <m:sSub>
          <m:e>
            <m:r>
              <m:t>y</m:t>
            </m:r>
          </m:e>
          <m:sub>
            <m:r>
              <m:t>R</m:t>
            </m:r>
            <m:r>
              <m:t>e</m:t>
            </m:r>
            <m:r>
              <m:t>t</m:t>
            </m:r>
          </m:sub>
        </m:sSub>
        <m:r>
          <m:rPr>
            <m:sty m:val="p"/>
          </m:rPr>
          <m:t>×</m:t>
        </m:r>
        <m:r>
          <m:t>R</m:t>
        </m:r>
        <m:r>
          <m:t>a</m:t>
        </m:r>
        <m:r>
          <m:t>t</m:t>
        </m:r>
        <m:sSub>
          <m:e>
            <m:r>
              <m:t>e</m:t>
            </m:r>
          </m:e>
          <m:sub>
            <m:r>
              <m:t>R</m:t>
            </m:r>
            <m:r>
              <m:t>e</m:t>
            </m:r>
            <m:r>
              <m:t>t</m:t>
            </m:r>
          </m:sub>
        </m:sSub>
        <m:r>
          <m:rPr>
            <m:sty m:val="p"/>
          </m:rPr>
          <m:t>×</m:t>
        </m:r>
        <m:r>
          <m:t>M</m:t>
        </m:r>
        <m:r>
          <m:t>o</m:t>
        </m:r>
        <m:r>
          <m:t>d</m:t>
        </m:r>
        <m:r>
          <m:t>i</m:t>
        </m:r>
        <m:r>
          <m:t>f</m:t>
        </m:r>
        <m:r>
          <m:t>i</m:t>
        </m:r>
        <m:r>
          <m:t>e</m:t>
        </m:r>
        <m:sSub>
          <m:e>
            <m:r>
              <m:t>r</m:t>
            </m:r>
          </m:e>
          <m:sub>
            <m:r>
              <m:t>S</m:t>
            </m:r>
            <m:r>
              <m:t>t</m:t>
            </m:r>
            <m:r>
              <m:t>a</m:t>
            </m:r>
            <m:r>
              <m:t>t</m:t>
            </m:r>
            <m:r>
              <m:t>e</m:t>
            </m:r>
          </m:sub>
        </m:sSub>
        <m:r>
          <m:rPr>
            <m:sty m:val="p"/>
          </m:rPr>
          <m:t>)</m:t>
        </m:r>
      </m:oMath>
    </w:p>
    <w:bookmarkEnd w:id="14"/>
    <w:bookmarkStart w:id="15" w:name="policy-scenario-analysis"/>
    <w:p>
      <w:pPr>
        <w:pStyle w:val="Heading3"/>
      </w:pPr>
      <w:r>
        <w:t xml:space="preserve">2.5 Policy Scenario Analysis</w:t>
      </w:r>
    </w:p>
    <w:p>
      <w:pPr>
        <w:pStyle w:val="FirstParagraph"/>
      </w:pPr>
      <w:r>
        <w:t xml:space="preserve">To translate forecasts into actionable policy intelligence, we modeled three distinct futures:</w:t>
      </w:r>
      <w:r>
        <w:t xml:space="preserve"> </w:t>
      </w:r>
      <w:r>
        <w:t xml:space="preserve">*</w:t>
      </w:r>
      <w:r>
        <w:t xml:space="preserve"> </w:t>
      </w:r>
      <w:r>
        <w:rPr>
          <w:b/>
          <w:bCs/>
        </w:rPr>
        <w:t xml:space="preserve">Scenario A (Treatment Optimization):</w:t>
      </w:r>
      <w:r>
        <w:t xml:space="preserve"> </w:t>
      </w:r>
      <w:r>
        <w:t xml:space="preserve">Assumed the universal rollout of the BPaL/M regimen (6-month oral cure). Model Parameter: Increased treatment success rate for DR-TB from 56% to 90%, reducing the recurrence rate into the</w:t>
      </w:r>
      <w:r>
        <w:t xml:space="preserve"> </w:t>
      </w:r>
      <w:r>
        <w:t xml:space="preserve">“Retreatment”</w:t>
      </w:r>
      <w:r>
        <w:t xml:space="preserve"> </w:t>
      </w:r>
      <w:r>
        <w:t xml:space="preserve">pool.</w:t>
      </w:r>
      <w:r>
        <w:t xml:space="preserve"> </w:t>
      </w:r>
      <w:r>
        <w:t xml:space="preserve">*</w:t>
      </w:r>
      <w:r>
        <w:t xml:space="preserve"> </w:t>
      </w:r>
      <w:r>
        <w:rPr>
          <w:b/>
          <w:bCs/>
        </w:rPr>
        <w:t xml:space="preserve">Scenario B (Prevention First):</w:t>
      </w:r>
      <w:r>
        <w:t xml:space="preserve"> </w:t>
      </w:r>
      <w:r>
        <w:t xml:space="preserve">Assumed aggressive upstream intervention.</w:t>
      </w:r>
      <w:r>
        <w:t xml:space="preserve"> </w:t>
      </w:r>
      <w:r>
        <w:t xml:space="preserve">*</w:t>
      </w:r>
      <w:r>
        <w:t xml:space="preserve"> </w:t>
      </w:r>
      <w:r>
        <w:rPr>
          <w:i/>
          <w:iCs/>
        </w:rPr>
        <w:t xml:space="preserve">Active Case Finding (ACF):</w:t>
      </w:r>
      <w:r>
        <w:t xml:space="preserve"> </w:t>
      </w:r>
      <w:r>
        <w:t xml:space="preserve">Modeled as a 5%</w:t>
      </w:r>
      <w:r>
        <w:t xml:space="preserve"> </w:t>
      </w:r>
      <w:r>
        <w:t xml:space="preserve">“spike”</w:t>
      </w:r>
      <w:r>
        <w:t xml:space="preserve"> </w:t>
      </w:r>
      <w:r>
        <w:t xml:space="preserve">in detection in 2025/26 (clearing the backlog).</w:t>
      </w:r>
      <w:r>
        <w:t xml:space="preserve"> </w:t>
      </w:r>
      <w:r>
        <w:t xml:space="preserve">*</w:t>
      </w:r>
      <w:r>
        <w:t xml:space="preserve"> </w:t>
      </w:r>
      <w:r>
        <w:rPr>
          <w:i/>
          <w:iCs/>
        </w:rPr>
        <w:t xml:space="preserve">TB Preventive Treatment (TPT):</w:t>
      </w:r>
      <w:r>
        <w:t xml:space="preserve"> </w:t>
      </w:r>
      <w:r>
        <w:t xml:space="preserve">Modeled as a cumulative 10% annual reduction in incidence starting 2027, based on trial data showing TPT efficacy in household contacts.⁷</w:t>
      </w:r>
      <w:r>
        <w:t xml:space="preserve"> </w:t>
      </w:r>
      <w:r>
        <w:t xml:space="preserve">*</w:t>
      </w:r>
      <w:r>
        <w:t xml:space="preserve"> </w:t>
      </w:r>
      <w:r>
        <w:rPr>
          <w:b/>
          <w:bCs/>
        </w:rPr>
        <w:t xml:space="preserve">Scenario C (Combination Strategy):</w:t>
      </w:r>
      <w:r>
        <w:t xml:space="preserve"> </w:t>
      </w:r>
      <w:r>
        <w:t xml:space="preserve">The multiplicative effect of applying both Scenario A and B simultaneously.</w:t>
      </w:r>
    </w:p>
    <w:p>
      <w:r>
        <w:pict>
          <v:rect style="width:0;height:1.5pt" o:hralign="center" o:hrstd="t" o:hr="t"/>
        </w:pict>
      </w:r>
    </w:p>
    <w:bookmarkEnd w:id="15"/>
    <w:bookmarkEnd w:id="16"/>
    <w:bookmarkStart w:id="22" w:name="results"/>
    <w:p>
      <w:pPr>
        <w:pStyle w:val="Heading2"/>
      </w:pPr>
      <w:r>
        <w:t xml:space="preserve">3. Results</w:t>
      </w:r>
    </w:p>
    <w:bookmarkStart w:id="17" w:name="X4664755dc29d9ac3ad36c9db39287edb3a6d83a"/>
    <w:p>
      <w:pPr>
        <w:pStyle w:val="Heading3"/>
      </w:pPr>
      <w:r>
        <w:t xml:space="preserve">3.1 Validation: The Reality of Primary Resistance</w:t>
      </w:r>
    </w:p>
    <w:p>
      <w:pPr>
        <w:pStyle w:val="FirstParagraph"/>
      </w:pPr>
      <w:r>
        <w:t xml:space="preserve">Our original rapid meta-analysis (Figure 4) synthesized data from over 150,000 screened individuals across India. The findings were stark and consistent. The</w:t>
      </w:r>
      <w:r>
        <w:t xml:space="preserve"> </w:t>
      </w:r>
      <w:r>
        <w:rPr>
          <w:b/>
          <w:bCs/>
        </w:rPr>
        <w:t xml:space="preserve">National TB Prevalence Survey</w:t>
      </w:r>
      <w:r>
        <w:t xml:space="preserve"> </w:t>
      </w:r>
      <w:r>
        <w:t xml:space="preserve">anchored the primary resistance rate at</w:t>
      </w:r>
      <w:r>
        <w:t xml:space="preserve"> </w:t>
      </w:r>
      <w:r>
        <w:rPr>
          <w:b/>
          <w:bCs/>
        </w:rPr>
        <w:t xml:space="preserve">3.64%</w:t>
      </w:r>
      <w:r>
        <w:t xml:space="preserve">. Regional studies ranged from 2.2% (Mumbai) to 5.6% (Puducherry - Isoniazid), but the pooled evidence firmly rejected any hypothesis that primary resistance is negligible.</w:t>
      </w:r>
      <w:r>
        <w:t xml:space="preserve"> </w:t>
      </w:r>
      <w:r>
        <w:t xml:space="preserve">*</w:t>
      </w:r>
      <w:r>
        <w:t xml:space="preserve"> </w:t>
      </w:r>
      <w:r>
        <w:rPr>
          <w:i/>
          <w:iCs/>
        </w:rPr>
        <w:t xml:space="preserve">Interpretation:</w:t>
      </w:r>
      <w:r>
        <w:t xml:space="preserve"> </w:t>
      </w:r>
      <w:r>
        <w:t xml:space="preserve">This validates the input for our forecasting model, confirming that the</w:t>
      </w:r>
      <w:r>
        <w:t xml:space="preserve"> </w:t>
      </w:r>
      <w:r>
        <w:t xml:space="preserve">“New Case”</w:t>
      </w:r>
      <w:r>
        <w:t xml:space="preserve"> </w:t>
      </w:r>
      <w:r>
        <w:t xml:space="preserve">cohort serves as a massive, often silent reservoir of drug-resistant strains.</w:t>
      </w:r>
    </w:p>
    <w:bookmarkEnd w:id="17"/>
    <w:bookmarkStart w:id="18" w:name="X3b68410c4015562984ac533ab8f7f0a9b8e0bae"/>
    <w:p>
      <w:pPr>
        <w:pStyle w:val="Heading3"/>
      </w:pPr>
      <w:r>
        <w:t xml:space="preserve">3.2 The National Trajectory: A Plateau at the Peak</w:t>
      </w:r>
    </w:p>
    <w:p>
      <w:pPr>
        <w:pStyle w:val="FirstParagraph"/>
      </w:pPr>
      <w:r>
        <w:t xml:space="preserve">The multi-model ensemble predicts a sobering future for the Status Quo.</w:t>
      </w:r>
      <w:r>
        <w:t xml:space="preserve"> </w:t>
      </w:r>
      <w:r>
        <w:t xml:space="preserve">*</w:t>
      </w:r>
      <w:r>
        <w:t xml:space="preserve"> </w:t>
      </w:r>
      <w:r>
        <w:rPr>
          <w:b/>
          <w:bCs/>
        </w:rPr>
        <w:t xml:space="preserve">Total Notifications:</w:t>
      </w:r>
      <w:r>
        <w:t xml:space="preserve"> </w:t>
      </w:r>
      <w:r>
        <w:t xml:space="preserve">From a baseline of 2.55 million in 2024, our consensus forecast projects a rise to</w:t>
      </w:r>
      <w:r>
        <w:t xml:space="preserve"> </w:t>
      </w:r>
      <w:r>
        <w:rPr>
          <w:b/>
          <w:bCs/>
        </w:rPr>
        <w:t xml:space="preserve">2.59 million</w:t>
      </w:r>
      <w:r>
        <w:t xml:space="preserve"> </w:t>
      </w:r>
      <w:r>
        <w:t xml:space="preserve">in 2025 (95% CI: 2.19–2.99M). By 2030, the burden is expected to stabilize at a high plateau of</w:t>
      </w:r>
      <w:r>
        <w:t xml:space="preserve"> </w:t>
      </w:r>
      <w:r>
        <w:rPr>
          <w:b/>
          <w:bCs/>
        </w:rPr>
        <w:t xml:space="preserve">~3.00 million cases</w:t>
      </w:r>
      <w:r>
        <w:t xml:space="preserve"> </w:t>
      </w:r>
      <w:r>
        <w:t xml:space="preserve">annually (Figure 1A).</w:t>
      </w:r>
      <w:r>
        <w:t xml:space="preserve"> </w:t>
      </w:r>
      <w:r>
        <w:t xml:space="preserve">*</w:t>
      </w:r>
      <w:r>
        <w:t xml:space="preserve"> </w:t>
      </w:r>
      <w:r>
        <w:rPr>
          <w:b/>
          <w:bCs/>
        </w:rPr>
        <w:t xml:space="preserve">Implication:</w:t>
      </w:r>
      <w:r>
        <w:t xml:space="preserve"> </w:t>
      </w:r>
      <w:r>
        <w:t xml:space="preserve">This trajectory represents a divergence from the</w:t>
      </w:r>
      <w:r>
        <w:t xml:space="preserve"> </w:t>
      </w:r>
      <w:r>
        <w:t xml:space="preserve">“End TB”</w:t>
      </w:r>
      <w:r>
        <w:t xml:space="preserve"> </w:t>
      </w:r>
      <w:r>
        <w:t xml:space="preserve">decline curve. Instead of plunging towards elimination, the notification rate is climbing, driven by intensified case finding but sustained transmission.</w:t>
      </w:r>
    </w:p>
    <w:bookmarkEnd w:id="18"/>
    <w:bookmarkStart w:id="19" w:name="the-drug-resistant-tb-crisis"/>
    <w:p>
      <w:pPr>
        <w:pStyle w:val="Heading3"/>
      </w:pPr>
      <w:r>
        <w:t xml:space="preserve">3.3 The Drug-Resistant TB Crisis</w:t>
      </w:r>
    </w:p>
    <w:p>
      <w:pPr>
        <w:pStyle w:val="FirstParagraph"/>
      </w:pPr>
      <w:r>
        <w:t xml:space="preserve">While total TB cases rise gradually, the complexity of the caseload worsens.</w:t>
      </w:r>
      <w:r>
        <w:t xml:space="preserve"> </w:t>
      </w:r>
      <w:r>
        <w:t xml:space="preserve">*</w:t>
      </w:r>
      <w:r>
        <w:t xml:space="preserve"> </w:t>
      </w:r>
      <w:r>
        <w:rPr>
          <w:b/>
          <w:bCs/>
        </w:rPr>
        <w:t xml:space="preserve">Projected Burden:</w:t>
      </w:r>
      <w:r>
        <w:t xml:space="preserve"> </w:t>
      </w:r>
      <w:r>
        <w:t xml:space="preserve">The annual MDR/RR-TB burden is forecasted to grow from ~130,000 in 2024 to</w:t>
      </w:r>
      <w:r>
        <w:t xml:space="preserve"> </w:t>
      </w:r>
      <w:r>
        <w:rPr>
          <w:b/>
          <w:bCs/>
        </w:rPr>
        <w:t xml:space="preserve">158,914</w:t>
      </w:r>
      <w:r>
        <w:t xml:space="preserve"> </w:t>
      </w:r>
      <w:r>
        <w:t xml:space="preserve">cases by 2030.</w:t>
      </w:r>
      <w:r>
        <w:t xml:space="preserve"> </w:t>
      </w:r>
      <w:r>
        <w:t xml:space="preserve">*</w:t>
      </w:r>
      <w:r>
        <w:t xml:space="preserve"> </w:t>
      </w:r>
      <w:r>
        <w:rPr>
          <w:b/>
          <w:bCs/>
        </w:rPr>
        <w:t xml:space="preserve">The</w:t>
      </w:r>
      <w:r>
        <w:rPr>
          <w:b/>
          <w:bCs/>
        </w:rPr>
        <w:t xml:space="preserve"> </w:t>
      </w:r>
      <w:r>
        <w:rPr>
          <w:b/>
          <w:bCs/>
        </w:rPr>
        <w:t xml:space="preserve">“New Case Paradox”</w:t>
      </w:r>
      <w:r>
        <w:rPr>
          <w:b/>
          <w:bCs/>
        </w:rPr>
        <w:t xml:space="preserve">:</w:t>
      </w:r>
      <w:r>
        <w:t xml:space="preserve"> </w:t>
      </w:r>
      <w:r>
        <w:t xml:space="preserve">The most critical finding of this study is the source attribution (Figure 3A). By 2030,</w:t>
      </w:r>
      <w:r>
        <w:t xml:space="preserve"> </w:t>
      </w:r>
      <w:r>
        <w:rPr>
          <w:b/>
          <w:bCs/>
        </w:rPr>
        <w:t xml:space="preserve">67% (approx. 106,000 cases)</w:t>
      </w:r>
      <w:r>
        <w:t xml:space="preserve"> </w:t>
      </w:r>
      <w:r>
        <w:t xml:space="preserve">of all DR-TB patients will be</w:t>
      </w:r>
      <w:r>
        <w:t xml:space="preserve"> </w:t>
      </w:r>
      <w:r>
        <w:rPr>
          <w:i/>
          <w:iCs/>
        </w:rPr>
        <w:t xml:space="preserve">new</w:t>
      </w:r>
      <w:r>
        <w:t xml:space="preserve"> </w:t>
      </w:r>
      <w:r>
        <w:t xml:space="preserve">cases. Only 33% will come from the retreatment pool.</w:t>
      </w:r>
      <w:r>
        <w:t xml:space="preserve"> </w:t>
      </w:r>
      <w:r>
        <w:t xml:space="preserve">*</w:t>
      </w:r>
      <w:r>
        <w:t xml:space="preserve"> </w:t>
      </w:r>
      <w:r>
        <w:rPr>
          <w:i/>
          <w:iCs/>
        </w:rPr>
        <w:t xml:space="preserve">Significance:</w:t>
      </w:r>
      <w:r>
        <w:t xml:space="preserve"> </w:t>
      </w:r>
      <w:r>
        <w:t xml:space="preserve">This dismantles the traditional notion that MDR-TB is a</w:t>
      </w:r>
      <w:r>
        <w:t xml:space="preserve"> </w:t>
      </w:r>
      <w:r>
        <w:t xml:space="preserve">“disease of non-compliance.”</w:t>
      </w:r>
      <w:r>
        <w:t xml:space="preserve"> </w:t>
      </w:r>
      <w:r>
        <w:t xml:space="preserve">It is now a disease of transmission. The majority of future MDR-TB patients will be people who have never taken a TB pill in their lives but breathed in a resistant strain.</w:t>
      </w:r>
    </w:p>
    <w:bookmarkEnd w:id="19"/>
    <w:bookmarkStart w:id="20" w:name="geographic-and-demographic-heterogeneity"/>
    <w:p>
      <w:pPr>
        <w:pStyle w:val="Heading3"/>
      </w:pPr>
      <w:r>
        <w:t xml:space="preserve">3.4 Geographic and Demographic Heterogeneity</w:t>
      </w:r>
    </w:p>
    <w:p>
      <w:pPr>
        <w:pStyle w:val="FirstParagraph"/>
      </w:pPr>
      <w:r>
        <w:t xml:space="preserve">India is not a single epidemiological zone; it is a continent of diverse sub-epidemics. Our updated state-level forecasting (Figure 2) reveals intense disparities:</w:t>
      </w:r>
      <w:r>
        <w:t xml:space="preserve"> </w:t>
      </w:r>
      <w:r>
        <w:t xml:space="preserve">*</w:t>
      </w:r>
      <w:r>
        <w:t xml:space="preserve"> </w:t>
      </w:r>
      <w:r>
        <w:rPr>
          <w:b/>
          <w:bCs/>
        </w:rPr>
        <w:t xml:space="preserve">Volume vs. Intensity:</w:t>
      </w:r>
      <w:r>
        <w:t xml:space="preserve"> </w:t>
      </w:r>
      <w:r>
        <w:t xml:space="preserve">While</w:t>
      </w:r>
      <w:r>
        <w:t xml:space="preserve"> </w:t>
      </w:r>
      <w:r>
        <w:rPr>
          <w:b/>
          <w:bCs/>
        </w:rPr>
        <w:t xml:space="preserve">Uttar Pradesh (UP)</w:t>
      </w:r>
      <w:r>
        <w:t xml:space="preserve"> </w:t>
      </w:r>
      <w:r>
        <w:t xml:space="preserve">has the highest absolute projected burden (~48,000 cases), states like</w:t>
      </w:r>
      <w:r>
        <w:t xml:space="preserve"> </w:t>
      </w:r>
      <w:r>
        <w:rPr>
          <w:b/>
          <w:bCs/>
        </w:rPr>
        <w:t xml:space="preserve">Maharashtra</w:t>
      </w:r>
      <w:r>
        <w:t xml:space="preserve"> </w:t>
      </w:r>
      <w:r>
        <w:t xml:space="preserve">and</w:t>
      </w:r>
      <w:r>
        <w:t xml:space="preserve"> </w:t>
      </w:r>
      <w:r>
        <w:rPr>
          <w:b/>
          <w:bCs/>
        </w:rPr>
        <w:t xml:space="preserve">Delhi</w:t>
      </w:r>
      <w:r>
        <w:t xml:space="preserve"> </w:t>
      </w:r>
      <w:r>
        <w:t xml:space="preserve">exhibit a much higher</w:t>
      </w:r>
      <w:r>
        <w:t xml:space="preserve"> </w:t>
      </w:r>
      <w:r>
        <w:rPr>
          <w:i/>
          <w:iCs/>
        </w:rPr>
        <w:t xml:space="preserve">intensity</w:t>
      </w:r>
      <w:r>
        <w:t xml:space="preserve"> </w:t>
      </w:r>
      <w:r>
        <w:t xml:space="preserve">(percentage of cases that are resistant), reflecting mature, drug-saturated urban epidemics.</w:t>
      </w:r>
      <w:r>
        <w:t xml:space="preserve"> </w:t>
      </w:r>
      <w:r>
        <w:t xml:space="preserve">*</w:t>
      </w:r>
      <w:r>
        <w:t xml:space="preserve"> </w:t>
      </w:r>
      <w:r>
        <w:rPr>
          <w:b/>
          <w:bCs/>
        </w:rPr>
        <w:t xml:space="preserve">The</w:t>
      </w:r>
      <w:r>
        <w:rPr>
          <w:b/>
          <w:bCs/>
        </w:rPr>
        <w:t xml:space="preserve"> </w:t>
      </w:r>
      <w:r>
        <w:rPr>
          <w:b/>
          <w:bCs/>
        </w:rPr>
        <w:t xml:space="preserve">“Big 5”</w:t>
      </w:r>
      <w:r>
        <w:rPr>
          <w:b/>
          <w:bCs/>
        </w:rPr>
        <w:t xml:space="preserve"> </w:t>
      </w:r>
      <w:r>
        <w:rPr>
          <w:b/>
          <w:bCs/>
        </w:rPr>
        <w:t xml:space="preserve">Hotspots:</w:t>
      </w:r>
      <w:r>
        <w:t xml:space="preserve"> </w:t>
      </w:r>
      <w:r>
        <w:rPr>
          <w:b/>
          <w:bCs/>
        </w:rPr>
        <w:t xml:space="preserve">Uttar Pradesh, Bihar, Maharashtra, Madhya Pradesh, and Rajasthan</w:t>
      </w:r>
      <w:r>
        <w:t xml:space="preserve"> </w:t>
      </w:r>
      <w:r>
        <w:t xml:space="preserve">are projected to shoulder</w:t>
      </w:r>
      <w:r>
        <w:t xml:space="preserve"> </w:t>
      </w:r>
      <w:r>
        <w:rPr>
          <w:b/>
          <w:bCs/>
        </w:rPr>
        <w:t xml:space="preserve">&gt;55%</w:t>
      </w:r>
      <w:r>
        <w:t xml:space="preserve"> </w:t>
      </w:r>
      <w:r>
        <w:t xml:space="preserve">of the national DR-TB burden.</w:t>
      </w:r>
      <w:r>
        <w:t xml:space="preserve"> </w:t>
      </w:r>
      <w:r>
        <w:t xml:space="preserve">*</w:t>
      </w:r>
      <w:r>
        <w:t xml:space="preserve"> </w:t>
      </w:r>
      <w:r>
        <w:rPr>
          <w:b/>
          <w:bCs/>
        </w:rPr>
        <w:t xml:space="preserve">Demographic Impact:</w:t>
      </w:r>
      <w:r>
        <w:t xml:space="preserve"> </w:t>
      </w:r>
      <w:r>
        <w:t xml:space="preserve">Our age-wise heatmap analysis (Figure 5) of these high-burden states reveals that the disease is not affecting the elderly or infirm most; rather, the</w:t>
      </w:r>
      <w:r>
        <w:t xml:space="preserve"> </w:t>
      </w:r>
      <w:r>
        <w:rPr>
          <w:b/>
          <w:bCs/>
        </w:rPr>
        <w:t xml:space="preserve">15–30</w:t>
      </w:r>
      <w:r>
        <w:t xml:space="preserve"> </w:t>
      </w:r>
      <w:r>
        <w:t xml:space="preserve">and</w:t>
      </w:r>
      <w:r>
        <w:t xml:space="preserve"> </w:t>
      </w:r>
      <w:r>
        <w:rPr>
          <w:b/>
          <w:bCs/>
        </w:rPr>
        <w:t xml:space="preserve">31–45</w:t>
      </w:r>
      <w:r>
        <w:t xml:space="preserve"> </w:t>
      </w:r>
      <w:r>
        <w:t xml:space="preserve">age cohorts show the highest infection density.</w:t>
      </w:r>
      <w:r>
        <w:t xml:space="preserve"> </w:t>
      </w:r>
      <w:r>
        <w:t xml:space="preserve">*</w:t>
      </w:r>
      <w:r>
        <w:t xml:space="preserve"> </w:t>
      </w:r>
      <w:r>
        <w:rPr>
          <w:i/>
          <w:iCs/>
        </w:rPr>
        <w:t xml:space="preserve">Economic Consequence:</w:t>
      </w:r>
      <w:r>
        <w:t xml:space="preserve"> </w:t>
      </w:r>
      <w:r>
        <w:t xml:space="preserve">This concentration in the prime productive workforce signals a massive potential economic loss (GDP impact) due to lost man-hours and mortality, reinforcing the economic case for investment.</w:t>
      </w:r>
    </w:p>
    <w:bookmarkEnd w:id="20"/>
    <w:bookmarkStart w:id="21" w:name="scenario-analysis-the-value-of-strategy"/>
    <w:p>
      <w:pPr>
        <w:pStyle w:val="Heading3"/>
      </w:pPr>
      <w:r>
        <w:t xml:space="preserve">3.5 Scenario Analysis: The Value of Strategy</w:t>
      </w:r>
    </w:p>
    <w:p>
      <w:pPr>
        <w:pStyle w:val="FirstParagraph"/>
      </w:pPr>
      <w:r>
        <w:t xml:space="preserve">Strategic choices made today will define the 2030 outcome. Our sensitivity analysis (Figure 1B) quantifies these choices:</w:t>
      </w:r>
      <w:r>
        <w:t xml:space="preserve"> </w:t>
      </w:r>
      <w:r>
        <w:t xml:space="preserve">1.</w:t>
      </w:r>
      <w:r>
        <w:t xml:space="preserve"> </w:t>
      </w:r>
      <w:r>
        <w:rPr>
          <w:b/>
          <w:bCs/>
        </w:rPr>
        <w:t xml:space="preserve">Status Quo (No Policy Change):</w:t>
      </w:r>
      <w:r>
        <w:t xml:space="preserve"> </w:t>
      </w:r>
      <w:r>
        <w:t xml:space="preserve">Result =</w:t>
      </w:r>
      <w:r>
        <w:t xml:space="preserve"> </w:t>
      </w:r>
      <w:r>
        <w:rPr>
          <w:b/>
          <w:bCs/>
        </w:rPr>
        <w:t xml:space="preserve">2.55–3.00 Million Cases</w:t>
      </w:r>
      <w:r>
        <w:t xml:space="preserve">. A failure of elimination goals.</w:t>
      </w:r>
      <w:r>
        <w:t xml:space="preserve"> </w:t>
      </w:r>
      <w:r>
        <w:t xml:space="preserve">2.</w:t>
      </w:r>
      <w:r>
        <w:t xml:space="preserve"> </w:t>
      </w:r>
      <w:r>
        <w:rPr>
          <w:b/>
          <w:bCs/>
        </w:rPr>
        <w:t xml:space="preserve">Treatment Optimization (BPaL/M Only):</w:t>
      </w:r>
      <w:r>
        <w:t xml:space="preserve"> </w:t>
      </w:r>
      <w:r>
        <w:t xml:space="preserve">Result =</w:t>
      </w:r>
      <w:r>
        <w:t xml:space="preserve"> </w:t>
      </w:r>
      <w:r>
        <w:rPr>
          <w:b/>
          <w:bCs/>
        </w:rPr>
        <w:t xml:space="preserve">~2.25 Million Cases</w:t>
      </w:r>
      <w:r>
        <w:t xml:space="preserve"> </w:t>
      </w:r>
      <w:r>
        <w:t xml:space="preserve">(11% reduction). While BPaL saves lives, it acts too late in the cascade to stop transmission. A cured patient has already infected their family before treatment ends.</w:t>
      </w:r>
      <w:r>
        <w:t xml:space="preserve"> </w:t>
      </w:r>
      <w:r>
        <w:t xml:space="preserve">3.</w:t>
      </w:r>
      <w:r>
        <w:t xml:space="preserve"> </w:t>
      </w:r>
      <w:r>
        <w:rPr>
          <w:b/>
          <w:bCs/>
        </w:rPr>
        <w:t xml:space="preserve">Prevention First (TPT + ACF):</w:t>
      </w:r>
      <w:r>
        <w:t xml:space="preserve"> </w:t>
      </w:r>
      <w:r>
        <w:t xml:space="preserve">Result =</w:t>
      </w:r>
      <w:r>
        <w:t xml:space="preserve"> </w:t>
      </w:r>
      <w:r>
        <w:rPr>
          <w:b/>
          <w:bCs/>
        </w:rPr>
        <w:t xml:space="preserve">~1.67 Million Cases</w:t>
      </w:r>
      <w:r>
        <w:t xml:space="preserve"> </w:t>
      </w:r>
      <w:r>
        <w:t xml:space="preserve">(34% reduction). Aggressively finding cases and treating latent infection in contacts breaks the reproductive cycle of the epidemic.</w:t>
      </w:r>
      <w:r>
        <w:t xml:space="preserve"> </w:t>
      </w:r>
      <w:r>
        <w:t xml:space="preserve">4.</w:t>
      </w:r>
      <w:r>
        <w:t xml:space="preserve"> </w:t>
      </w:r>
      <w:r>
        <w:rPr>
          <w:b/>
          <w:bCs/>
        </w:rPr>
        <w:t xml:space="preserve">Combination Strategy (End TB):</w:t>
      </w:r>
      <w:r>
        <w:t xml:space="preserve"> </w:t>
      </w:r>
      <w:r>
        <w:t xml:space="preserve">Result =</w:t>
      </w:r>
      <w:r>
        <w:t xml:space="preserve"> </w:t>
      </w:r>
      <w:r>
        <w:rPr>
          <w:b/>
          <w:bCs/>
        </w:rPr>
        <w:t xml:space="preserve">~1.35 Million Cases</w:t>
      </w:r>
      <w:r>
        <w:t xml:space="preserve"> </w:t>
      </w:r>
      <w:r>
        <w:t xml:space="preserve">(47% reduction). The synergy of finding cases early, preventing secondary cases via TPT, and curing resistant cases rapidly via BPaL is robust. This strategy creates a</w:t>
      </w:r>
      <w:r>
        <w:t xml:space="preserve"> </w:t>
      </w:r>
      <w:r>
        <w:t xml:space="preserve">“virtuous cycle”</w:t>
      </w:r>
      <w:r>
        <w:t xml:space="preserve"> </w:t>
      </w:r>
      <w:r>
        <w:t xml:space="preserve">of collapsing transmission, potentially averting</w:t>
      </w:r>
      <w:r>
        <w:t xml:space="preserve"> </w:t>
      </w:r>
      <w:r>
        <w:rPr>
          <w:b/>
          <w:bCs/>
        </w:rPr>
        <w:t xml:space="preserve">1.2 million cases</w:t>
      </w:r>
      <w:r>
        <w:t xml:space="preserve"> </w:t>
      </w:r>
      <w:r>
        <w:t xml:space="preserve">in the year 2030 alone.</w:t>
      </w:r>
    </w:p>
    <w:p>
      <w:r>
        <w:pict>
          <v:rect style="width:0;height:1.5pt" o:hralign="center" o:hrstd="t" o:hr="t"/>
        </w:pict>
      </w:r>
    </w:p>
    <w:bookmarkEnd w:id="21"/>
    <w:bookmarkEnd w:id="22"/>
    <w:bookmarkStart w:id="27" w:name="discussion"/>
    <w:p>
      <w:pPr>
        <w:pStyle w:val="Heading2"/>
      </w:pPr>
      <w:r>
        <w:t xml:space="preserve">4. Discussion</w:t>
      </w:r>
    </w:p>
    <w:bookmarkStart w:id="23" w:name="X1aaf91c38819c331b0af0e985fc4a5fc4747654"/>
    <w:p>
      <w:pPr>
        <w:pStyle w:val="Heading3"/>
      </w:pPr>
      <w:r>
        <w:t xml:space="preserve">4.1 Unmasking the Primary Transmission Threat</w:t>
      </w:r>
    </w:p>
    <w:p>
      <w:pPr>
        <w:pStyle w:val="FirstParagraph"/>
      </w:pPr>
      <w:r>
        <w:t xml:space="preserve">For decades, TB control programs have operated on the heuristic that</w:t>
      </w:r>
      <w:r>
        <w:t xml:space="preserve"> </w:t>
      </w:r>
      <w:r>
        <w:t xml:space="preserve">“New = Sensitive”</w:t>
      </w:r>
      <w:r>
        <w:t xml:space="preserve"> </w:t>
      </w:r>
      <w:r>
        <w:t xml:space="preserve">and</w:t>
      </w:r>
      <w:r>
        <w:t xml:space="preserve"> </w:t>
      </w:r>
      <w:r>
        <w:t xml:space="preserve">“Retreatment = Resistant.”</w:t>
      </w:r>
      <w:r>
        <w:t xml:space="preserve"> </w:t>
      </w:r>
      <w:r>
        <w:t xml:space="preserve">Our forecasted data, validated by meta-analysis, proves this heuristic is now dangerous. With nearly 4% of new cases—and potentially more in hotspots like Mumbai—carrying primary resistance, the reliance on smear microscopy or clinical diagnosis for new patients is untenable. It inadvertently subjects MDR-TB patients to first-line drugs, amplifying resistance and fueling transmission.</w:t>
      </w:r>
    </w:p>
    <w:p>
      <w:pPr>
        <w:pStyle w:val="BodyText"/>
      </w:pPr>
      <w:r>
        <w:rPr>
          <w:b/>
          <w:bCs/>
        </w:rPr>
        <w:t xml:space="preserve">Policy Implication:</w:t>
      </w:r>
      <w:r>
        <w:t xml:space="preserve"> </w:t>
      </w:r>
      <w:r>
        <w:t xml:space="preserve">The era of risk-based screening must end.</w:t>
      </w:r>
      <w:r>
        <w:t xml:space="preserve"> </w:t>
      </w:r>
      <w:r>
        <w:rPr>
          <w:b/>
          <w:bCs/>
        </w:rPr>
        <w:t xml:space="preserve">Universal Upfront Drug Susceptibility Testing (DST)</w:t>
      </w:r>
      <w:r>
        <w:t xml:space="preserve">—specifically rapid molecular tests like CBNAAT or TrueNat—must be the standard of care for</w:t>
      </w:r>
      <w:r>
        <w:t xml:space="preserve"> </w:t>
      </w:r>
      <w:r>
        <w:rPr>
          <w:i/>
          <w:iCs/>
        </w:rPr>
        <w:t xml:space="preserve">every</w:t>
      </w:r>
      <w:r>
        <w:t xml:space="preserve"> </w:t>
      </w:r>
      <w:r>
        <w:t xml:space="preserve">diagnosed TB patient, regardless of history. Our model, illustrated by the</w:t>
      </w:r>
      <w:r>
        <w:t xml:space="preserve"> </w:t>
      </w:r>
      <w:r>
        <w:t xml:space="preserve">‘Diagnostic Gap’</w:t>
      </w:r>
      <w:r>
        <w:t xml:space="preserve"> </w:t>
      </w:r>
      <w:r>
        <w:t xml:space="preserve">(Figure 3B), suggests that failing to do so will result in missing over 85,000 primary MDR-TB cases detected by risk-based screening annually by 2030.</w:t>
      </w:r>
    </w:p>
    <w:bookmarkEnd w:id="23"/>
    <w:bookmarkStart w:id="24" w:name="the-limits-of-a-curative-approach"/>
    <w:p>
      <w:pPr>
        <w:pStyle w:val="Heading3"/>
      </w:pPr>
      <w:r>
        <w:t xml:space="preserve">4.2 The Limits of a Curative Approach</w:t>
      </w:r>
    </w:p>
    <w:p>
      <w:pPr>
        <w:pStyle w:val="FirstParagraph"/>
      </w:pPr>
      <w:r>
        <w:t xml:space="preserve">The modest 11% impact of the</w:t>
      </w:r>
      <w:r>
        <w:t xml:space="preserve"> </w:t>
      </w:r>
      <w:r>
        <w:t xml:space="preserve">“Universal Treatment”</w:t>
      </w:r>
      <w:r>
        <w:t xml:space="preserve"> </w:t>
      </w:r>
      <w:r>
        <w:t xml:space="preserve">scenario is a sobering reminder of the limits of curative medicine in public health. While new drugs are vital humanitarian tools, they are not sufficient epidemiological tools. TB is an airborne disease with a long infectious period. By the time a patient is diagnosed and started on BPaL, the transmission event has often already occurred. To bend the curve, we must move upstream.</w:t>
      </w:r>
    </w:p>
    <w:p>
      <w:pPr>
        <w:pStyle w:val="BodyText"/>
      </w:pPr>
      <w:r>
        <w:rPr>
          <w:b/>
          <w:bCs/>
        </w:rPr>
        <w:t xml:space="preserve">Policy Implication:</w:t>
      </w:r>
      <w:r>
        <w:t xml:space="preserve"> </w:t>
      </w:r>
      <w:r>
        <w:t xml:space="preserve">The</w:t>
      </w:r>
      <w:r>
        <w:t xml:space="preserve"> </w:t>
      </w:r>
      <w:r>
        <w:rPr>
          <w:b/>
          <w:bCs/>
        </w:rPr>
        <w:t xml:space="preserve">“Search and Prevent”</w:t>
      </w:r>
      <w:r>
        <w:t xml:space="preserve"> </w:t>
      </w:r>
      <w:r>
        <w:t xml:space="preserve">paradigm must take precedence. Active Case Finding (ACF) reduces the infectious period, and TPT reduces the susceptible pool. Our model shows that these interventions are 3x more effective at reducing incidence than better treatment regimens alone (Figure 1B).</w:t>
      </w:r>
    </w:p>
    <w:bookmarkEnd w:id="24"/>
    <w:bookmarkStart w:id="25" w:name="equity-and-resource-allocation"/>
    <w:p>
      <w:pPr>
        <w:pStyle w:val="Heading3"/>
      </w:pPr>
      <w:r>
        <w:t xml:space="preserve">4.3 Equity and Resource Allocation</w:t>
      </w:r>
    </w:p>
    <w:p>
      <w:pPr>
        <w:pStyle w:val="FirstParagraph"/>
      </w:pPr>
      <w:r>
        <w:t xml:space="preserve">The extreme concentration of disease burden in the</w:t>
      </w:r>
      <w:r>
        <w:t xml:space="preserve"> </w:t>
      </w:r>
      <w:r>
        <w:t xml:space="preserve">“Big 5”</w:t>
      </w:r>
      <w:r>
        <w:t xml:space="preserve"> </w:t>
      </w:r>
      <w:r>
        <w:t xml:space="preserve">states (UP, Bihar, Maharashtra, MP, Rajasthan) demands a shift from</w:t>
      </w:r>
      <w:r>
        <w:t xml:space="preserve"> </w:t>
      </w:r>
      <w:r>
        <w:t xml:space="preserve">“equality”</w:t>
      </w:r>
      <w:r>
        <w:t xml:space="preserve"> </w:t>
      </w:r>
      <w:r>
        <w:t xml:space="preserve">to</w:t>
      </w:r>
      <w:r>
        <w:t xml:space="preserve"> </w:t>
      </w:r>
      <w:r>
        <w:t xml:space="preserve">“equity”</w:t>
      </w:r>
      <w:r>
        <w:t xml:space="preserve"> </w:t>
      </w:r>
      <w:r>
        <w:t xml:space="preserve">in resource allocation. Distributing diagnostic machines per capita is insufficient; they must be distributed per</w:t>
      </w:r>
      <w:r>
        <w:t xml:space="preserve"> </w:t>
      </w:r>
      <w:r>
        <w:rPr>
          <w:i/>
          <w:iCs/>
        </w:rPr>
        <w:t xml:space="preserve">burden</w:t>
      </w:r>
      <w:r>
        <w:t xml:space="preserve"> </w:t>
      </w:r>
      <w:r>
        <w:t xml:space="preserve">and</w:t>
      </w:r>
      <w:r>
        <w:t xml:space="preserve"> </w:t>
      </w:r>
      <w:r>
        <w:rPr>
          <w:i/>
          <w:iCs/>
        </w:rPr>
        <w:t xml:space="preserve">intensity</w:t>
      </w:r>
      <w:r>
        <w:t xml:space="preserve">. A</w:t>
      </w:r>
      <w:r>
        <w:t xml:space="preserve"> </w:t>
      </w:r>
      <w:r>
        <w:t xml:space="preserve">“Surge Strategy”</w:t>
      </w:r>
      <w:r>
        <w:t xml:space="preserve"> </w:t>
      </w:r>
      <w:r>
        <w:t xml:space="preserve">focusing intense TPT and ACF efforts in these five states could yield disproportionate national dividends. Conversely, failure in Uttar Pradesh effectively guarantees failure for India’s national elimination goals.</w:t>
      </w:r>
    </w:p>
    <w:bookmarkEnd w:id="25"/>
    <w:bookmarkStart w:id="26" w:name="strengths-and-limitations"/>
    <w:p>
      <w:pPr>
        <w:pStyle w:val="Heading3"/>
      </w:pPr>
      <w:r>
        <w:t xml:space="preserve">4.4 Strengths and Limitations</w:t>
      </w:r>
    </w:p>
    <w:p>
      <w:pPr>
        <w:pStyle w:val="Compact"/>
        <w:numPr>
          <w:ilvl w:val="0"/>
          <w:numId w:val="1002"/>
        </w:numPr>
      </w:pPr>
      <w:r>
        <w:rPr>
          <w:i/>
          <w:iCs/>
        </w:rPr>
        <w:t xml:space="preserve">Strengths:</w:t>
      </w:r>
      <w:r>
        <w:t xml:space="preserve"> </w:t>
      </w:r>
      <w:r>
        <w:t xml:space="preserve">Use of a multi-model ensemble to handle volatility; original meta-analysis validation; state-level granularity accounting for regional risk heterogeneity.</w:t>
      </w:r>
    </w:p>
    <w:p>
      <w:pPr>
        <w:pStyle w:val="Compact"/>
        <w:numPr>
          <w:ilvl w:val="0"/>
          <w:numId w:val="1002"/>
        </w:numPr>
      </w:pPr>
      <w:r>
        <w:rPr>
          <w:i/>
          <w:iCs/>
        </w:rPr>
        <w:t xml:space="preserve">Limitations:</w:t>
      </w:r>
      <w:r>
        <w:t xml:space="preserve"> </w:t>
      </w:r>
      <w:r>
        <w:t xml:space="preserve">Dependence on notification data (which proxies incidence); assumption that TPT efficacy translates perfectly from trials to program conditions; lack of district-level granularity.</w:t>
      </w:r>
    </w:p>
    <w:p>
      <w:r>
        <w:pict>
          <v:rect style="width:0;height:1.5pt" o:hralign="center" o:hrstd="t" o:hr="t"/>
        </w:pict>
      </w:r>
    </w:p>
    <w:bookmarkEnd w:id="26"/>
    <w:bookmarkEnd w:id="27"/>
    <w:bookmarkStart w:id="28" w:name="conclusion"/>
    <w:p>
      <w:pPr>
        <w:pStyle w:val="Heading2"/>
      </w:pPr>
      <w:r>
        <w:t xml:space="preserve">5. Conclusion</w:t>
      </w:r>
    </w:p>
    <w:p>
      <w:pPr>
        <w:pStyle w:val="FirstParagraph"/>
      </w:pPr>
      <w:r>
        <w:t xml:space="preserve">India is standing at a divergent point in its TB history. The inertia of the current trajectory leads to a 2030 where TB remains a massive endemic burden, complicated by a growing, transmissible resistant strain. This is the</w:t>
      </w:r>
      <w:r>
        <w:t xml:space="preserve"> </w:t>
      </w:r>
      <w:r>
        <w:t xml:space="preserve">“Status Quo”</w:t>
      </w:r>
      <w:r>
        <w:t xml:space="preserve"> </w:t>
      </w:r>
      <w:r>
        <w:t xml:space="preserve">future of 3 million cases.</w:t>
      </w:r>
    </w:p>
    <w:p>
      <w:pPr>
        <w:pStyle w:val="BodyText"/>
      </w:pPr>
      <w:r>
        <w:t xml:space="preserve">However, an alternative future is mathematically possible. It is a future where the cycle of transmission is broken before it begins. By embracing a radical Combination Strategy—one that treats</w:t>
      </w:r>
      <w:r>
        <w:t xml:space="preserve"> </w:t>
      </w:r>
      <w:r>
        <w:rPr>
          <w:i/>
          <w:iCs/>
        </w:rPr>
        <w:t xml:space="preserve">Latent</w:t>
      </w:r>
      <w:r>
        <w:t xml:space="preserve"> </w:t>
      </w:r>
      <w:r>
        <w:t xml:space="preserve">TB as aggressively as</w:t>
      </w:r>
      <w:r>
        <w:t xml:space="preserve"> </w:t>
      </w:r>
      <w:r>
        <w:rPr>
          <w:i/>
          <w:iCs/>
        </w:rPr>
        <w:t xml:space="preserve">Active</w:t>
      </w:r>
      <w:r>
        <w:t xml:space="preserve"> </w:t>
      </w:r>
      <w:r>
        <w:t xml:space="preserve">TB, and tests</w:t>
      </w:r>
      <w:r>
        <w:t xml:space="preserve"> </w:t>
      </w:r>
      <w:r>
        <w:rPr>
          <w:i/>
          <w:iCs/>
        </w:rPr>
        <w:t xml:space="preserve">New</w:t>
      </w:r>
      <w:r>
        <w:t xml:space="preserve"> </w:t>
      </w:r>
      <w:r>
        <w:t xml:space="preserve">patients as potential</w:t>
      </w:r>
      <w:r>
        <w:t xml:space="preserve"> </w:t>
      </w:r>
      <w:r>
        <w:rPr>
          <w:i/>
          <w:iCs/>
        </w:rPr>
        <w:t xml:space="preserve">Resistant</w:t>
      </w:r>
      <w:r>
        <w:t xml:space="preserve"> </w:t>
      </w:r>
      <w:r>
        <w:t xml:space="preserve">patients—India can avert over a million cases annually. The tools (BPaL, TPT, TrueNat) exist. The evidence, as presented here, is irrefutable. The missing variable now is not science, but the sustained operational intensity to deploy these tools where they matter most.</w:t>
      </w:r>
    </w:p>
    <w:p>
      <w:r>
        <w:pict>
          <v:rect style="width:0;height:1.5pt" o:hralign="center" o:hrstd="t" o:hr="t"/>
        </w:pict>
      </w:r>
    </w:p>
    <w:bookmarkEnd w:id="28"/>
    <w:bookmarkStart w:id="29" w:name="references"/>
    <w:p>
      <w:pPr>
        <w:pStyle w:val="Heading2"/>
      </w:pPr>
      <w:r>
        <w:t xml:space="preserve">6. References</w:t>
      </w:r>
    </w:p>
    <w:p>
      <w:pPr>
        <w:pStyle w:val="Compact"/>
        <w:numPr>
          <w:ilvl w:val="0"/>
          <w:numId w:val="1003"/>
        </w:numPr>
      </w:pPr>
      <w:r>
        <w:t xml:space="preserve">World Health Organization.</w:t>
      </w:r>
      <w:r>
        <w:t xml:space="preserve"> </w:t>
      </w:r>
      <w:r>
        <w:rPr>
          <w:b/>
          <w:bCs/>
        </w:rPr>
        <w:t xml:space="preserve">Global Tuberculosis Report 2024</w:t>
      </w:r>
      <w:r>
        <w:t xml:space="preserve">. Geneva: WHO, 2024.</w:t>
      </w:r>
    </w:p>
    <w:p>
      <w:pPr>
        <w:pStyle w:val="Compact"/>
        <w:numPr>
          <w:ilvl w:val="0"/>
          <w:numId w:val="1003"/>
        </w:numPr>
      </w:pPr>
      <w:r>
        <w:t xml:space="preserve">Pai M, Kasaeva T, Swaminathan S.</w:t>
      </w:r>
      <w:r>
        <w:t xml:space="preserve"> </w:t>
      </w:r>
      <w:r>
        <w:rPr>
          <w:b/>
          <w:bCs/>
        </w:rPr>
        <w:t xml:space="preserve">The Covd-19 pandemic and tuberculosis: a perfect storm</w:t>
      </w:r>
      <w:r>
        <w:t xml:space="preserve">.</w:t>
      </w:r>
      <w:r>
        <w:t xml:space="preserve"> </w:t>
      </w:r>
      <w:r>
        <w:rPr>
          <w:i/>
          <w:iCs/>
        </w:rPr>
        <w:t xml:space="preserve">The Lancet Respiratory Medicine</w:t>
      </w:r>
      <w:r>
        <w:t xml:space="preserve">. 2023;11(2):123-125.</w:t>
      </w:r>
    </w:p>
    <w:p>
      <w:pPr>
        <w:pStyle w:val="Compact"/>
        <w:numPr>
          <w:ilvl w:val="0"/>
          <w:numId w:val="1003"/>
        </w:numPr>
      </w:pPr>
      <w:r>
        <w:t xml:space="preserve">Kendall EA, Fojo AT, Dowdy DW.</w:t>
      </w:r>
      <w:r>
        <w:t xml:space="preserve"> </w:t>
      </w:r>
      <w:r>
        <w:rPr>
          <w:b/>
          <w:bCs/>
        </w:rPr>
        <w:t xml:space="preserve">Expected effects of new drug regimens for multidrug-resistant tuberculosis</w:t>
      </w:r>
      <w:r>
        <w:t xml:space="preserve">.</w:t>
      </w:r>
      <w:r>
        <w:t xml:space="preserve"> </w:t>
      </w:r>
      <w:r>
        <w:rPr>
          <w:i/>
          <w:iCs/>
        </w:rPr>
        <w:t xml:space="preserve">Annals of Internal Medicine</w:t>
      </w:r>
      <w:r>
        <w:t xml:space="preserve">. 2023;176(3):345-353.</w:t>
      </w:r>
    </w:p>
    <w:p>
      <w:pPr>
        <w:pStyle w:val="Compact"/>
        <w:numPr>
          <w:ilvl w:val="0"/>
          <w:numId w:val="1003"/>
        </w:numPr>
      </w:pPr>
      <w:r>
        <w:t xml:space="preserve">Hyndman RJ, Athanasopoulos G.</w:t>
      </w:r>
      <w:r>
        <w:t xml:space="preserve"> </w:t>
      </w:r>
      <w:r>
        <w:rPr>
          <w:b/>
          <w:bCs/>
        </w:rPr>
        <w:t xml:space="preserve">Forecasting: principles and practice</w:t>
      </w:r>
      <w:r>
        <w:t xml:space="preserve">. 3rd ed. OTexts; 2021.</w:t>
      </w:r>
    </w:p>
    <w:p>
      <w:pPr>
        <w:pStyle w:val="Compact"/>
        <w:numPr>
          <w:ilvl w:val="0"/>
          <w:numId w:val="1003"/>
        </w:numPr>
      </w:pPr>
      <w:r>
        <w:t xml:space="preserve">Central TB Division.</w:t>
      </w:r>
      <w:r>
        <w:t xml:space="preserve"> </w:t>
      </w:r>
      <w:r>
        <w:rPr>
          <w:b/>
          <w:bCs/>
        </w:rPr>
        <w:t xml:space="preserve">India TB Report 2024</w:t>
      </w:r>
      <w:r>
        <w:t xml:space="preserve">. Ministry of Health and Family Welfare, Government of India, 2024.</w:t>
      </w:r>
    </w:p>
    <w:p>
      <w:pPr>
        <w:pStyle w:val="Compact"/>
        <w:numPr>
          <w:ilvl w:val="0"/>
          <w:numId w:val="1003"/>
        </w:numPr>
      </w:pPr>
      <w:r>
        <w:t xml:space="preserve">Goyal S, et al. </w:t>
      </w:r>
      <w:r>
        <w:rPr>
          <w:b/>
          <w:bCs/>
        </w:rPr>
        <w:t xml:space="preserve">Prevalence of drug-resistant tuberculosis in India: a systematic review and meta-analysis</w:t>
      </w:r>
      <w:r>
        <w:t xml:space="preserve">.</w:t>
      </w:r>
      <w:r>
        <w:t xml:space="preserve"> </w:t>
      </w:r>
      <w:r>
        <w:rPr>
          <w:i/>
          <w:iCs/>
        </w:rPr>
        <w:t xml:space="preserve">BMC Public Health</w:t>
      </w:r>
      <w:r>
        <w:t xml:space="preserve">. 2020;20(1):1-12.</w:t>
      </w:r>
    </w:p>
    <w:p>
      <w:pPr>
        <w:pStyle w:val="Compact"/>
        <w:numPr>
          <w:ilvl w:val="0"/>
          <w:numId w:val="1003"/>
        </w:numPr>
      </w:pPr>
      <w:r>
        <w:t xml:space="preserve">Churchyard G, et al. </w:t>
      </w:r>
      <w:r>
        <w:rPr>
          <w:b/>
          <w:bCs/>
        </w:rPr>
        <w:t xml:space="preserve">Tuberculosis Preventive Treatment: An Update</w:t>
      </w:r>
      <w:r>
        <w:t xml:space="preserve">.</w:t>
      </w:r>
      <w:r>
        <w:t xml:space="preserve"> </w:t>
      </w:r>
      <w:r>
        <w:rPr>
          <w:i/>
          <w:iCs/>
        </w:rPr>
        <w:t xml:space="preserve">The Lancet Infectious Diseases</w:t>
      </w:r>
      <w:r>
        <w:t xml:space="preserve">. 2024;24(12):19-30.</w:t>
      </w:r>
    </w:p>
    <w:p>
      <w:pPr>
        <w:pStyle w:val="Compact"/>
        <w:numPr>
          <w:ilvl w:val="0"/>
          <w:numId w:val="1003"/>
        </w:numPr>
      </w:pPr>
      <w:r>
        <w:t xml:space="preserve">Kumar A, et al. </w:t>
      </w:r>
      <w:r>
        <w:rPr>
          <w:b/>
          <w:bCs/>
        </w:rPr>
        <w:t xml:space="preserve">MDR-TB Prevalence Trends in India</w:t>
      </w:r>
      <w:r>
        <w:t xml:space="preserve">.</w:t>
      </w:r>
      <w:r>
        <w:t xml:space="preserve"> </w:t>
      </w:r>
      <w:r>
        <w:rPr>
          <w:i/>
          <w:iCs/>
        </w:rPr>
        <w:t xml:space="preserve">Cureus</w:t>
      </w:r>
      <w:r>
        <w:t xml:space="preserve">. 2023;15(3).</w:t>
      </w:r>
    </w:p>
    <w:p>
      <w:pPr>
        <w:pStyle w:val="Compact"/>
        <w:numPr>
          <w:ilvl w:val="0"/>
          <w:numId w:val="1003"/>
        </w:numPr>
      </w:pPr>
      <w:r>
        <w:t xml:space="preserve">Conradie F, et al. </w:t>
      </w:r>
      <w:r>
        <w:rPr>
          <w:b/>
          <w:bCs/>
        </w:rPr>
        <w:t xml:space="preserve">Treatment of Highly Drug-Resistant Pulmonary Tuberculosis</w:t>
      </w:r>
      <w:r>
        <w:t xml:space="preserve">.</w:t>
      </w:r>
      <w:r>
        <w:t xml:space="preserve"> </w:t>
      </w:r>
      <w:r>
        <w:rPr>
          <w:i/>
          <w:iCs/>
        </w:rPr>
        <w:t xml:space="preserve">New England Journal of Medicine</w:t>
      </w:r>
      <w:r>
        <w:t xml:space="preserve">. 2020;382:893-902.</w:t>
      </w:r>
    </w:p>
    <w:p>
      <w:pPr>
        <w:pStyle w:val="Compact"/>
        <w:numPr>
          <w:ilvl w:val="0"/>
          <w:numId w:val="1003"/>
        </w:numPr>
      </w:pPr>
      <w:r>
        <w:t xml:space="preserve">Udwadia ZF.</w:t>
      </w:r>
      <w:r>
        <w:t xml:space="preserve"> </w:t>
      </w:r>
      <w:r>
        <w:rPr>
          <w:b/>
          <w:bCs/>
        </w:rPr>
        <w:t xml:space="preserve">MDR-TB in India: The ticking time bomb</w:t>
      </w:r>
      <w:r>
        <w:t xml:space="preserve">.</w:t>
      </w:r>
      <w:r>
        <w:t xml:space="preserve"> </w:t>
      </w:r>
      <w:r>
        <w:rPr>
          <w:i/>
          <w:iCs/>
        </w:rPr>
        <w:t xml:space="preserve">Thorax</w:t>
      </w:r>
      <w:r>
        <w:t xml:space="preserve">. 2023;78:430-432.</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2025-12-14T16:13:45Z</dcterms:created>
  <dcterms:modified xsi:type="dcterms:W3CDTF">2025-12-14T16:13:45Z</dcterms:modified>
</cp:coreProperties>
</file>

<file path=docProps/custom.xml><?xml version="1.0" encoding="utf-8"?>
<Properties xmlns="http://schemas.openxmlformats.org/officeDocument/2006/custom-properties" xmlns:vt="http://schemas.openxmlformats.org/officeDocument/2006/docPropsVTypes"/>
</file>