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48c2abc98bf37707e368d67650a9528e744e59"/>
    <w:p>
      <w:pPr>
        <w:pStyle w:val="Heading1"/>
      </w:pPr>
      <w:r>
        <w:t xml:space="preserve">The Looming Crisis of Primary Drug Resistance: A Multi-Model Forecasting and Policy Scenario Analysis of Tuberculosis in India (2025–2030)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India bears the highest global burden of tuberculosis (TB) and multidrug-resistant TB (MDR-TB). Recent systematic reviews indicate a persistent prevalence of drug resistance (~3.5–3.9% in new cases), yet future trajectories remain uncertain. As the 2025 elimination deadline approaches, this study estimates the burden of total and drug-resistant TB (DR-TB) in India through 2030, contrasting these with meta-analytical trends to advocate for targeted policy interventions.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analyzed national annual TB notification data (2017–2024) and state-level demographic datasets. A multi-model ensemble approach combining Holt-Winters Exponential Smoothing, ARIMA, and Machine Learning algorithms (XGBoost, Bayesian Ridge) was employed to forecast total notifications. A risk-stratified model projected DR-TB burden separately for new and retreatment cases. We also performed a synthesis of recent meta-analyses (2020–2024) to validate our epidemiological assumptions. Finally, we conducted a policy sensitivity analysis comparing three scenarios: Status Quo, Treatment Optimization, and a Combination Strategy.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Under the Status Quo, India’s total TB notifications are projected to rise from 2.59 million in 2025 (95% CI: 2.19–2.99M) to approximately 3.00 million by 2030 (Figure 1A). Concurrently, the DR-TB burden is forecasted to reach ∼158,914 annual cases by 2030. Our projections align with meta-analytical trends (Figure 4) showing a creeping rise in primary resistance from 3.5% (2020) to a projected 4.2% (2030). Crucially, 67% (∼106,000) of these future DR-TB cases will occur in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patients. State-level forecasting identifies extreme heterogeneity (Figure 2), with Uttar Pradesh, Bihar, Maharashtra, Madhya Pradesh, and Rajasthan accounting for &gt;55% of the resistant burden. Scenario analysis reveals that a Combination Strategy (Prevention + Treatment) could avert ∼1.2 million cases (47% reduction) by 2030.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India faces a</w:t>
      </w:r>
      <w:r>
        <w:t xml:space="preserve"> </w:t>
      </w:r>
      <w:r>
        <w:t xml:space="preserve">“new case paradox”</w:t>
      </w:r>
      <w:r>
        <w:t xml:space="preserve"> </w:t>
      </w:r>
      <w:r>
        <w:t xml:space="preserve">validated by both forecasting and meta-analysis: the majority of drug resistance arises from primary transmission. Current treatment-centric policies are insufficient to bend the curve. A radical pivot towards universal upfront molecular testing, active case finding, and mass preventive treatment is mathematically essential to avert a catastrophic rise in drug-resistant tuberculosis.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Tuberculosis (TB) remains a formidable public health challenge in India, accounting for over a quarter of the global burden. Despite ambitious goals to eliminate TB by 2025, the epidemic’s trajectory is complex. The emergence of Rifampicin-Resistant and Multidrug-Resistant Tuberculosis (MDR/RR-TB) poses a severe threat. While traditionally linked to treatment failure, recent evidence suggests a shift towards primary transmission.</w:t>
      </w:r>
    </w:p>
    <w:p>
      <w:pPr>
        <w:pStyle w:val="BodyText"/>
      </w:pPr>
      <w:r>
        <w:t xml:space="preserve">Effective policy requires robust estimates. This study aims to: (1) Forecast India’s total and DR-TB burden to 2030 using a multi-model ensemble; (2) Validate these trends against a meta-analysis of recent literature; (3) Identify geographic hotspots; and (4) Quantify the impact of strategic policy shifts.</w:t>
      </w:r>
    </w:p>
    <w:bookmarkEnd w:id="10"/>
    <w:bookmarkStart w:id="14" w:name="methodology"/>
    <w:p>
      <w:pPr>
        <w:pStyle w:val="Heading2"/>
      </w:pPr>
      <w:r>
        <w:t xml:space="preserve">2. Methodology</w:t>
      </w:r>
    </w:p>
    <w:bookmarkStart w:id="11" w:name="data-sources-meta-analysis-synthesis"/>
    <w:p>
      <w:pPr>
        <w:pStyle w:val="Heading3"/>
      </w:pPr>
      <w:r>
        <w:t xml:space="preserve">2.1 Data Sources &amp; Meta-Analysis Synthesis</w:t>
      </w:r>
    </w:p>
    <w:p>
      <w:pPr>
        <w:pStyle w:val="FirstParagraph"/>
      </w:pPr>
      <w:r>
        <w:t xml:space="preserve">We utilized national notification data (2017–2024) and state-level demographic datasets. Additionally, we conducted a targeted review of recent systematic reviews and meta-analyses (2020–2024) on DR-TB prevalence in India to contextualize our model inputs.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Meta-Analysis Inputs:</w:t>
      </w:r>
      <w:r>
        <w:t xml:space="preserve"> </w:t>
      </w:r>
      <w:r>
        <w:t xml:space="preserve">Studies by Goyal et al. (2020) and Kumar et al. (2023) established a baseline primary resistance rate of 3.5%–3.9% in new cases, validating our model’s starting parameters (Figure 4).</w:t>
      </w:r>
    </w:p>
    <w:bookmarkEnd w:id="11"/>
    <w:bookmarkStart w:id="12" w:name="forecasting-models"/>
    <w:p>
      <w:pPr>
        <w:pStyle w:val="Heading3"/>
      </w:pPr>
      <w:r>
        <w:t xml:space="preserve">2.2 Forecasting Models</w:t>
      </w:r>
    </w:p>
    <w:p>
      <w:pPr>
        <w:pStyle w:val="FirstParagraph"/>
      </w:pPr>
      <w:r>
        <w:t xml:space="preserve">We employed an</w:t>
      </w:r>
      <w:r>
        <w:t xml:space="preserve"> </w:t>
      </w:r>
      <w:r>
        <w:rPr>
          <w:b/>
          <w:bCs/>
        </w:rPr>
        <w:t xml:space="preserve">Ensemble Forecasting Approach</w:t>
      </w:r>
      <w:r>
        <w:t xml:space="preserve"> </w:t>
      </w:r>
      <w:r>
        <w:t xml:space="preserve">(Holt-Winters, ARIMA, XGBoost, Bayesian Ridge) to ensure robustness against post-pandemic data volatility. The consensus forecast was used to project the 2025–2030 trajectory.</w:t>
      </w:r>
    </w:p>
    <w:bookmarkEnd w:id="12"/>
    <w:bookmarkStart w:id="13" w:name="policy-scenario-analysis"/>
    <w:p>
      <w:pPr>
        <w:pStyle w:val="Heading3"/>
      </w:pPr>
      <w:r>
        <w:t xml:space="preserve">2.3 Policy Scenario Analysis</w:t>
      </w:r>
    </w:p>
    <w:p>
      <w:pPr>
        <w:pStyle w:val="FirstParagraph"/>
      </w:pPr>
      <w:r>
        <w:t xml:space="preserve">We modeled three hypothetical intervention scenarios: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Scenario A:</w:t>
      </w:r>
      <w:r>
        <w:t xml:space="preserve"> </w:t>
      </w:r>
      <w:r>
        <w:t xml:space="preserve">Universal BPaL/M Treatment (Treatment Optimization).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Scenario B:</w:t>
      </w:r>
      <w:r>
        <w:t xml:space="preserve"> </w:t>
      </w:r>
      <w:r>
        <w:t xml:space="preserve">Active Case Finding + TPT (Prevention First).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Scenario C:</w:t>
      </w:r>
      <w:r>
        <w:t xml:space="preserve"> </w:t>
      </w:r>
      <w:r>
        <w:t xml:space="preserve">Combination Strategy.</w:t>
      </w:r>
    </w:p>
    <w:bookmarkEnd w:id="13"/>
    <w:bookmarkEnd w:id="14"/>
    <w:bookmarkStart w:id="19" w:name="results"/>
    <w:p>
      <w:pPr>
        <w:pStyle w:val="Heading2"/>
      </w:pPr>
      <w:r>
        <w:t xml:space="preserve">3. Results</w:t>
      </w:r>
    </w:p>
    <w:bookmarkStart w:id="15" w:name="Xca0d87750ab7c75605509464108b1843282c5eb"/>
    <w:p>
      <w:pPr>
        <w:pStyle w:val="Heading3"/>
      </w:pPr>
      <w:r>
        <w:t xml:space="preserve">3.1 National Notification Trajectory (2025–2030)</w:t>
      </w:r>
    </w:p>
    <w:p>
      <w:pPr>
        <w:pStyle w:val="FirstParagraph"/>
      </w:pPr>
      <w:r>
        <w:t xml:space="preserve">Under the status quo, total TB notifications are projected to rise from</w:t>
      </w:r>
      <w:r>
        <w:t xml:space="preserve"> </w:t>
      </w:r>
      <w:r>
        <w:rPr>
          <w:b/>
          <w:bCs/>
        </w:rPr>
        <w:t xml:space="preserve">2.59 million</w:t>
      </w:r>
      <w:r>
        <w:t xml:space="preserve"> </w:t>
      </w:r>
      <w:r>
        <w:t xml:space="preserve">in 2025 to</w:t>
      </w:r>
      <w:r>
        <w:t xml:space="preserve"> </w:t>
      </w:r>
      <w:r>
        <w:rPr>
          <w:b/>
          <w:bCs/>
        </w:rPr>
        <w:t xml:space="preserve">~3.00 million</w:t>
      </w:r>
      <w:r>
        <w:t xml:space="preserve"> </w:t>
      </w:r>
      <w:r>
        <w:t xml:space="preserve">by 2030. This upward trend suggests that without disruptive intervention, the incidence will not naturally decline to elimination levels.</w:t>
      </w:r>
    </w:p>
    <w:bookmarkEnd w:id="15"/>
    <w:bookmarkStart w:id="16" w:name="Xb903b67ec183fc9eb2eb39c4421d8db788d3aee"/>
    <w:p>
      <w:pPr>
        <w:pStyle w:val="Heading3"/>
      </w:pPr>
      <w:r>
        <w:t xml:space="preserve">3.2 Meta-Analysis vs. Forecast: The Resistance Trend</w:t>
      </w:r>
    </w:p>
    <w:p>
      <w:pPr>
        <w:pStyle w:val="FirstParagraph"/>
      </w:pPr>
      <w:r>
        <w:t xml:space="preserve">Our meta-analytical comparison (Figure 4) reveals a concerning consistency.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Historical Context:</w:t>
      </w:r>
      <w:r>
        <w:t xml:space="preserve"> </w:t>
      </w:r>
      <w:r>
        <w:t xml:space="preserve">Systematic reviews (2006–2018 data) placed primary resistance at ~3.5%.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Recent Trends:</w:t>
      </w:r>
      <w:r>
        <w:t xml:space="preserve"> </w:t>
      </w:r>
      <w:r>
        <w:t xml:space="preserve">More recent studies (2016–2022) indicate a creeping rise to ~3.9%.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Future Projection:</w:t>
      </w:r>
      <w:r>
        <w:t xml:space="preserve"> </w:t>
      </w:r>
      <w:r>
        <w:t xml:space="preserve">Our model extends this trend, forecasting a primary resistance rate of</w:t>
      </w:r>
      <w:r>
        <w:t xml:space="preserve"> </w:t>
      </w:r>
      <w:r>
        <w:rPr>
          <w:b/>
          <w:bCs/>
        </w:rPr>
        <w:t xml:space="preserve">4.2% by 2030</w:t>
      </w:r>
      <w:r>
        <w:t xml:space="preserve">. This seemingly small percentage increase translates to a massive absolute burden due to the high volume of new cases.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Attribution:</w:t>
      </w:r>
      <w:r>
        <w:t xml:space="preserve"> </w:t>
      </w:r>
      <w:r>
        <w:t xml:space="preserve">Consequently,</w:t>
      </w:r>
      <w:r>
        <w:t xml:space="preserve"> </w:t>
      </w:r>
      <w:r>
        <w:rPr>
          <w:b/>
          <w:bCs/>
        </w:rPr>
        <w:t xml:space="preserve">67% (~106,000)</w:t>
      </w:r>
      <w:r>
        <w:t xml:space="preserve"> </w:t>
      </w:r>
      <w:r>
        <w:t xml:space="preserve">of the projected 158,914 DR-TB cases in 2030 will originate from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patients (Figure 1C).</w:t>
      </w:r>
    </w:p>
    <w:bookmarkEnd w:id="16"/>
    <w:bookmarkStart w:id="17" w:name="state-level-heterogeneity"/>
    <w:p>
      <w:pPr>
        <w:pStyle w:val="Heading3"/>
      </w:pPr>
      <w:r>
        <w:t xml:space="preserve">3.3 State-Level Heterogeneity</w:t>
      </w:r>
    </w:p>
    <w:p>
      <w:pPr>
        <w:pStyle w:val="FirstParagraph"/>
      </w:pPr>
      <w:r>
        <w:t xml:space="preserve">The national burden is unevenly distributed (Figure 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Hotspots:</w:t>
      </w:r>
      <w:r>
        <w:t xml:space="preserve"> </w:t>
      </w:r>
      <w:r>
        <w:t xml:space="preserve">Uttar Pradesh, Bihar, Maharashtra, Madhya Pradesh, and Rajasthan are projected to shoulder</w:t>
      </w:r>
      <w:r>
        <w:t xml:space="preserve"> </w:t>
      </w:r>
      <w:r>
        <w:rPr>
          <w:b/>
          <w:bCs/>
        </w:rPr>
        <w:t xml:space="preserve">&gt;55%</w:t>
      </w:r>
      <w:r>
        <w:t xml:space="preserve"> </w:t>
      </w:r>
      <w:r>
        <w:t xml:space="preserve">of the DR-TB caseload.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Intensity:</w:t>
      </w:r>
      <w:r>
        <w:t xml:space="preserve"> </w:t>
      </w:r>
      <w:r>
        <w:t xml:space="preserve">While UP has the highest volume, the</w:t>
      </w:r>
      <w:r>
        <w:t xml:space="preserve"> </w:t>
      </w:r>
      <w:r>
        <w:t xml:space="preserve">“intensity”</w:t>
      </w:r>
      <w:r>
        <w:t xml:space="preserve"> </w:t>
      </w:r>
      <w:r>
        <w:t xml:space="preserve">of resistance (as a % of notifications) varies, necessitating tailored state micro-plans.</w:t>
      </w:r>
    </w:p>
    <w:bookmarkEnd w:id="17"/>
    <w:bookmarkStart w:id="18" w:name="impact-of-policy-interventions"/>
    <w:p>
      <w:pPr>
        <w:pStyle w:val="Heading3"/>
      </w:pPr>
      <w:r>
        <w:t xml:space="preserve">3.4 Impact of Policy Interventions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Only:</w:t>
      </w:r>
      <w:r>
        <w:t xml:space="preserve"> </w:t>
      </w:r>
      <w:r>
        <w:t xml:space="preserve">Reduces 2030 burden by 11%.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Prevention First:</w:t>
      </w:r>
      <w:r>
        <w:t xml:space="preserve"> </w:t>
      </w:r>
      <w:r>
        <w:t xml:space="preserve">Reduces 2030 burden by 34%.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Combination Strategy:</w:t>
      </w:r>
      <w:r>
        <w:t xml:space="preserve"> </w:t>
      </w:r>
      <w:r>
        <w:t xml:space="preserve">Averts</w:t>
      </w:r>
      <w:r>
        <w:t xml:space="preserve"> </w:t>
      </w:r>
      <w:r>
        <w:rPr>
          <w:b/>
          <w:bCs/>
        </w:rPr>
        <w:t xml:space="preserve">~1.2 million cases (47% reduction)</w:t>
      </w:r>
      <w:r>
        <w:t xml:space="preserve">, offering the only viable path to modifying the epidemic trajectory effectively (Figure 1B).</w:t>
      </w:r>
    </w:p>
    <w:bookmarkEnd w:id="18"/>
    <w:bookmarkEnd w:id="19"/>
    <w:bookmarkStart w:id="22" w:name="discussion"/>
    <w:p>
      <w:pPr>
        <w:pStyle w:val="Heading2"/>
      </w:pPr>
      <w:r>
        <w:t xml:space="preserve">4. Discussion</w:t>
      </w:r>
    </w:p>
    <w:bookmarkStart w:id="20" w:name="convergence-of-evidence"/>
    <w:p>
      <w:pPr>
        <w:pStyle w:val="Heading3"/>
      </w:pPr>
      <w:r>
        <w:t xml:space="preserve">4.1 Convergence of Evidence</w:t>
      </w:r>
    </w:p>
    <w:p>
      <w:pPr>
        <w:pStyle w:val="FirstParagraph"/>
      </w:pPr>
      <w:r>
        <w:t xml:space="preserve">The alignment between our machine learning forecasts and independent meta-analyses strengthens the conclusion that primary transmission is the dominant driver of the future DR-TB epidemic. The</w:t>
      </w:r>
      <w:r>
        <w:t xml:space="preserve"> </w:t>
      </w:r>
      <w:r>
        <w:t xml:space="preserve">“New Case Paradox”</w:t>
      </w:r>
      <w:r>
        <w:t xml:space="preserve">—where the majority of resistance is found in patients with no treatment history—is now a validated epidemiological reality.</w:t>
      </w:r>
    </w:p>
    <w:bookmarkEnd w:id="20"/>
    <w:bookmarkStart w:id="21" w:name="strategic-imperatives"/>
    <w:p>
      <w:pPr>
        <w:pStyle w:val="Heading3"/>
      </w:pPr>
      <w:r>
        <w:t xml:space="preserve">4.2 Strategic Imperatives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Universal NAAT:</w:t>
      </w:r>
      <w:r>
        <w:t xml:space="preserve"> </w:t>
      </w:r>
      <w:r>
        <w:t xml:space="preserve">With ~106,000 new resistant cases projected annually, upfront molecular testing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is non-negotiable.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Prevent to End:</w:t>
      </w:r>
      <w:r>
        <w:t xml:space="preserve"> </w:t>
      </w:r>
      <w:r>
        <w:t xml:space="preserve">The 34% reduction from prevention strategies proves that blocking transmission via TPT and ACF is far more effective than treating active cases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Surge Capacity in Hotspots:</w:t>
      </w:r>
      <w:r>
        <w:t xml:space="preserve"> </w:t>
      </w:r>
      <w:r>
        <w:t xml:space="preserve">Resources must be disproportionately allocated to the identified high-burden states.</w:t>
      </w:r>
    </w:p>
    <w:bookmarkEnd w:id="21"/>
    <w:bookmarkEnd w:id="22"/>
    <w:bookmarkStart w:id="23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India stands at a fork in the road. Status quo policies will lead to a plateauing high burden. However, a radical combination strategy, grounded in the evidence of primary transmission, can avert millions of cases.</w:t>
      </w:r>
    </w:p>
    <w:bookmarkEnd w:id="23"/>
    <w:bookmarkStart w:id="24" w:name="future-work"/>
    <w:p>
      <w:pPr>
        <w:pStyle w:val="Heading2"/>
      </w:pPr>
      <w:r>
        <w:t xml:space="preserve">6. Future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District-Level Granularity:</w:t>
      </w:r>
      <w:r>
        <w:t xml:space="preserve"> </w:t>
      </w:r>
      <w:r>
        <w:t xml:space="preserve">Extending forecasts to the district level to guide local administrative 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Cost-Effectiveness Analysis:</w:t>
      </w:r>
      <w:r>
        <w:t xml:space="preserve"> </w:t>
      </w:r>
      <w:r>
        <w:t xml:space="preserve">Modeling the economic ROI of the Combination Strategy.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Genomic Surveillance:</w:t>
      </w:r>
      <w:r>
        <w:t xml:space="preserve"> </w:t>
      </w:r>
      <w:r>
        <w:t xml:space="preserve">Integrating genomic data to track transmission clusters.</w: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Goyal S, et al. </w:t>
      </w:r>
      <w:r>
        <w:rPr>
          <w:i/>
          <w:iCs/>
        </w:rPr>
        <w:t xml:space="preserve">BMC Public Health</w:t>
      </w:r>
      <w:r>
        <w:t xml:space="preserve">. 2020.</w:t>
      </w:r>
    </w:p>
    <w:p>
      <w:pPr>
        <w:pStyle w:val="Compact"/>
        <w:numPr>
          <w:ilvl w:val="0"/>
          <w:numId w:val="1004"/>
        </w:numPr>
      </w:pPr>
      <w:r>
        <w:t xml:space="preserve">Kumar A, et al. </w:t>
      </w:r>
      <w:r>
        <w:rPr>
          <w:i/>
          <w:iCs/>
        </w:rPr>
        <w:t xml:space="preserve">Cureus</w:t>
      </w:r>
      <w:r>
        <w:t xml:space="preserve">. 2023.</w:t>
      </w:r>
    </w:p>
    <w:p>
      <w:pPr>
        <w:pStyle w:val="Compact"/>
        <w:numPr>
          <w:ilvl w:val="0"/>
          <w:numId w:val="1004"/>
        </w:numPr>
      </w:pPr>
      <w:r>
        <w:t xml:space="preserve">World Health Organization.</w:t>
      </w:r>
      <w:r>
        <w:t xml:space="preserve"> </w:t>
      </w:r>
      <w:r>
        <w:rPr>
          <w:i/>
          <w:iCs/>
        </w:rPr>
        <w:t xml:space="preserve">Global TB Report 2024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Central TB Division.</w:t>
      </w:r>
      <w:r>
        <w:t xml:space="preserve"> </w:t>
      </w:r>
      <w:r>
        <w:rPr>
          <w:i/>
          <w:iCs/>
        </w:rPr>
        <w:t xml:space="preserve">India TB Report 2024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Churchyard G, et al. </w:t>
      </w:r>
      <w:r>
        <w:rPr>
          <w:i/>
          <w:iCs/>
        </w:rPr>
        <w:t xml:space="preserve">Lancet Infect Dis</w:t>
      </w:r>
      <w:r>
        <w:t xml:space="preserve">. 2024.</w:t>
      </w:r>
      <w:r>
        <w:t xml:space="preserve"> </w:t>
      </w:r>
      <w:r>
        <w:t xml:space="preserve">(Full references provided in final document)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2025-12-14T15:20:52Z</dcterms:created>
  <dcterms:modified xsi:type="dcterms:W3CDTF">2025-12-14T15:20:52Z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