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048c2abc98bf37707e368d67650a9528e744e59"/>
    <w:p>
      <w:pPr>
        <w:pStyle w:val="Heading1"/>
      </w:pPr>
      <w:r>
        <w:t xml:space="preserve">The Looming Crisis of Primary Drug Resistance: A Multi-Model Forecasting and Policy Scenario Analysis of Tuberculosis in India (2025–2030)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Background:</w:t>
      </w:r>
      <w:r>
        <w:t xml:space="preserve"> </w:t>
      </w:r>
      <w:r>
        <w:t xml:space="preserve">India bears the highest global burden of tuberculosis (TB) and multidrug-resistant TB (MDR-TB). While traditional focus has been on acquired resistance, emerging evidence points to a rise in primary transmission. This study estimates the burden of total and drug-resistant TB (DR-TB) in India through 2030, reinforcing forecasts with a rapid meta-analysis of recent prevalence surveys, to advocate for targeted policy interventions.</w:t>
      </w:r>
    </w:p>
    <w:p>
      <w:pPr>
        <w:pStyle w:val="BodyText"/>
      </w:pPr>
      <w:r>
        <w:rPr>
          <w:b/>
          <w:bCs/>
        </w:rPr>
        <w:t xml:space="preserve">Methods:</w:t>
      </w:r>
      <w:r>
        <w:t xml:space="preserve"> </w:t>
      </w:r>
      <w:r>
        <w:t xml:space="preserve">We analyzed national annual TB notification data (2017–2024) and state-level demographic datasets. A multi-model ensemble approach (Holt-Winters, XGBoost, Bayesian Ridge) was employed to forecast total notifications. We conducted an</w:t>
      </w:r>
      <w:r>
        <w:t xml:space="preserve"> </w:t>
      </w:r>
      <w:r>
        <w:rPr>
          <w:b/>
          <w:bCs/>
        </w:rPr>
        <w:t xml:space="preserve">original rapid meta-analysis</w:t>
      </w:r>
      <w:r>
        <w:t xml:space="preserve"> </w:t>
      </w:r>
      <w:r>
        <w:t xml:space="preserve">of 5 recent cross-sectional studies and prevalence surveys (2019–2024) to validate the baseline prevalence of primary drug resistance. Finally, we modeled three policy scenarios (Treatment Optimization, Prevention First, Combination) to estimate future impact.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Our rapid meta-analysis (Figure 4) synthesizes data from 5 recent studies (N&gt;150,000 combined), identifying a weighted baseline primary resistance rate of ~3.6% (95% CI: 3.5–3.8%). Calibrated to this baseline, our forecasting model predicts that India’s DR-TB burden will rise to</w:t>
      </w:r>
      <w:r>
        <w:t xml:space="preserve"> </w:t>
      </w:r>
      <w:r>
        <w:rPr>
          <w:b/>
          <w:bCs/>
        </w:rPr>
        <w:t xml:space="preserve">∼158,914 annual cases</w:t>
      </w:r>
      <w:r>
        <w:t xml:space="preserve"> </w:t>
      </w:r>
      <w:r>
        <w:t xml:space="preserve">by 2030. Crucially, due to this sustained primary resistance rate,</w:t>
      </w:r>
      <w:r>
        <w:t xml:space="preserve"> </w:t>
      </w:r>
      <w:r>
        <w:rPr>
          <w:b/>
          <w:bCs/>
        </w:rPr>
        <w:t xml:space="preserve">67% (∼106,000)</w:t>
      </w:r>
      <w:r>
        <w:t xml:space="preserve"> </w:t>
      </w:r>
      <w:r>
        <w:t xml:space="preserve">of these future cases will be in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patients. Total notifications are projected to reach ~3.00 million by 2030. State-level analysis identifies Uttar Pradesh, Bihar, and Maharashtra as critical hotspots (Figure 2). Scenario analysis demonstrates that a Combination Strategy could avert</w:t>
      </w:r>
      <w:r>
        <w:t xml:space="preserve"> </w:t>
      </w:r>
      <w:r>
        <w:rPr>
          <w:b/>
          <w:bCs/>
        </w:rPr>
        <w:t xml:space="preserve">∼1.2 million cases (47% reduction)</w:t>
      </w:r>
      <w:r>
        <w:t xml:space="preserve"> </w:t>
      </w:r>
      <w:r>
        <w:t xml:space="preserve">by 2030.</w:t>
      </w:r>
    </w:p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Our original evidence synthesis confirms that primary transmission is a stable and dominant driver of the MDR-TB epidemic in India. Treatment-centric policies are insufficient. A radical pivot towards universal upfront molecular testing and mass preventive treatment is essential to avert a catastrophic rise in drug-resistant tuberculosis.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Tuberculosis (TB) remains a formidable public health challenge in India. As the 2025 elimination deadline approaches, the emergence of primary Rifampicin-Resistant TB (RR-TB) poses a severe threat. This study aims to: (1) Validates the prevalence of primary resistance through an original synthesis of recent literature; (2) Forecast India’s DR-TB burden to 2030; and (3) Quantify the impact of strategic policy shifts.</w:t>
      </w:r>
    </w:p>
    <w:bookmarkEnd w:id="10"/>
    <w:bookmarkStart w:id="13" w:name="methodology"/>
    <w:p>
      <w:pPr>
        <w:pStyle w:val="Heading2"/>
      </w:pPr>
      <w:r>
        <w:t xml:space="preserve">2. Methodology</w:t>
      </w:r>
    </w:p>
    <w:bookmarkStart w:id="11" w:name="original-rapid-meta-analysis"/>
    <w:p>
      <w:pPr>
        <w:pStyle w:val="Heading3"/>
      </w:pPr>
      <w:r>
        <w:t xml:space="preserve">2.1 Original Rapid Meta-Analysis</w:t>
      </w:r>
    </w:p>
    <w:p>
      <w:pPr>
        <w:pStyle w:val="FirstParagraph"/>
      </w:pPr>
      <w:r>
        <w:t xml:space="preserve">To validate model parameters, we conducted a rapid meta-analysis of literature published between 2020 and 2024. We searched for cross-sectional studies and prevalence surveys reporting MDR-TB rates in new cases in India.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Data Extraction:</w:t>
      </w:r>
      <w:r>
        <w:t xml:space="preserve"> </w:t>
      </w:r>
      <w:r>
        <w:t xml:space="preserve">We extracted sample sizes (N) and case counts (n) from 5 eligible studies, including the National TB Prevalence Survey (2019-2021) and regional studies from Maharashtra and Puducherry.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Synthesis:</w:t>
      </w:r>
      <w:r>
        <w:t xml:space="preserve"> </w:t>
      </w:r>
      <w:r>
        <w:t xml:space="preserve">We calculated Wilson Score Intervals for each study and compared them against our model’s baseline (Figure 4). The analysis confirmed a baseline primary resistance rate of ~3.6%, rejecting lower estimates.</w:t>
      </w:r>
    </w:p>
    <w:bookmarkEnd w:id="11"/>
    <w:bookmarkStart w:id="12" w:name="forecasting-models"/>
    <w:p>
      <w:pPr>
        <w:pStyle w:val="Heading3"/>
      </w:pPr>
      <w:r>
        <w:t xml:space="preserve">2.2 Forecasting Models</w:t>
      </w:r>
    </w:p>
    <w:p>
      <w:pPr>
        <w:pStyle w:val="FirstParagraph"/>
      </w:pPr>
      <w:r>
        <w:t xml:space="preserve">We employed an Ensemble Forecasting Approach (Holt-Winters, ARIMA, XGBoost) to project total notifications, stratified by state and patient history.</w:t>
      </w:r>
    </w:p>
    <w:bookmarkEnd w:id="12"/>
    <w:bookmarkEnd w:id="13"/>
    <w:bookmarkStart w:id="18" w:name="results"/>
    <w:p>
      <w:pPr>
        <w:pStyle w:val="Heading2"/>
      </w:pPr>
      <w:r>
        <w:t xml:space="preserve">3. Results</w:t>
      </w:r>
    </w:p>
    <w:bookmarkStart w:id="14" w:name="X709149a6527b494852310b8214caa947feaa5b2"/>
    <w:p>
      <w:pPr>
        <w:pStyle w:val="Heading3"/>
      </w:pPr>
      <w:r>
        <w:t xml:space="preserve">3.1 Evidence Synthesis: The Reality of Primary Resistance</w:t>
      </w:r>
    </w:p>
    <w:p>
      <w:pPr>
        <w:pStyle w:val="FirstParagraph"/>
      </w:pPr>
      <w:r>
        <w:t xml:space="preserve">Our rapid meta-analysis (Figure 4) reveals a consistent signal across diverse settings.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National Benchmark:</w:t>
      </w:r>
      <w:r>
        <w:t xml:space="preserve"> </w:t>
      </w:r>
      <w:r>
        <w:t xml:space="preserve">The National Prevalence Survey (N~100,000) anchors the rate at 3.6%.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Regional Variation:</w:t>
      </w:r>
      <w:r>
        <w:t xml:space="preserve"> </w:t>
      </w:r>
      <w:r>
        <w:t xml:space="preserve">Smaller studies (e.g., Mumbai) show variance (2.2%), but the pooled weight supports the 3.6–3.9% range.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Model Validation:</w:t>
      </w:r>
      <w:r>
        <w:t xml:space="preserve"> </w:t>
      </w:r>
      <w:r>
        <w:t xml:space="preserve">Our forecast model, initialized at 3.6% and projecting a rise to 4.2% by 2030, is robustly aligned with this empirical evidence base.</w:t>
      </w:r>
    </w:p>
    <w:bookmarkEnd w:id="14"/>
    <w:bookmarkStart w:id="15" w:name="forecasting-the-2030-burden"/>
    <w:p>
      <w:pPr>
        <w:pStyle w:val="Heading3"/>
      </w:pPr>
      <w:r>
        <w:t xml:space="preserve">3.2 Forecasting the 2030 Burden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Notifications:</w:t>
      </w:r>
      <w:r>
        <w:t xml:space="preserve"> </w:t>
      </w:r>
      <w:r>
        <w:t xml:space="preserve">Projected to rise to</w:t>
      </w:r>
      <w:r>
        <w:t xml:space="preserve"> </w:t>
      </w:r>
      <w:r>
        <w:rPr>
          <w:b/>
          <w:bCs/>
        </w:rPr>
        <w:t xml:space="preserve">~3.00 million</w:t>
      </w:r>
      <w:r>
        <w:t xml:space="preserve"> </w:t>
      </w:r>
      <w:r>
        <w:t xml:space="preserve">by 2030.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DR-TB Burden:</w:t>
      </w:r>
      <w:r>
        <w:t xml:space="preserve"> </w:t>
      </w:r>
      <w:r>
        <w:t xml:space="preserve">Forecasted to reach</w:t>
      </w:r>
      <w:r>
        <w:t xml:space="preserve"> </w:t>
      </w:r>
      <w:r>
        <w:rPr>
          <w:b/>
          <w:bCs/>
        </w:rPr>
        <w:t xml:space="preserve">158,914</w:t>
      </w:r>
      <w:r>
        <w:t xml:space="preserve"> </w:t>
      </w:r>
      <w:r>
        <w:t xml:space="preserve">cases.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Attribution:</w:t>
      </w:r>
      <w:r>
        <w:t xml:space="preserve"> </w:t>
      </w:r>
      <w:r>
        <w:rPr>
          <w:b/>
          <w:bCs/>
        </w:rPr>
        <w:t xml:space="preserve">67%</w:t>
      </w:r>
      <w:r>
        <w:t xml:space="preserve"> </w:t>
      </w:r>
      <w:r>
        <w:t xml:space="preserve">of these cases will be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patients (Primary Resistance).</w:t>
      </w:r>
    </w:p>
    <w:bookmarkEnd w:id="15"/>
    <w:bookmarkStart w:id="16" w:name="state-level-and-demographic-insights"/>
    <w:p>
      <w:pPr>
        <w:pStyle w:val="Heading3"/>
      </w:pPr>
      <w:r>
        <w:t xml:space="preserve">3.3 State-Level and Demographic Insights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Hotspots:</w:t>
      </w:r>
      <w:r>
        <w:t xml:space="preserve"> </w:t>
      </w:r>
      <w:r>
        <w:t xml:space="preserve">The</w:t>
      </w:r>
      <w:r>
        <w:t xml:space="preserve"> </w:t>
      </w:r>
      <w:r>
        <w:t xml:space="preserve">“Big 5”</w:t>
      </w:r>
      <w:r>
        <w:t xml:space="preserve"> </w:t>
      </w:r>
      <w:r>
        <w:t xml:space="preserve">states (UP, Bihar, Maharashtra, MP, Rajasthan) carry &gt;55% of the burden.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Demographics:</w:t>
      </w:r>
      <w:r>
        <w:t xml:space="preserve"> </w:t>
      </w:r>
      <w:r>
        <w:t xml:space="preserve">Heatmap analysis (Figure 3) confirms the epidemic is concentrated in the 15-45 age workforce.</w:t>
      </w:r>
    </w:p>
    <w:bookmarkEnd w:id="16"/>
    <w:bookmarkStart w:id="17" w:name="policy-impact"/>
    <w:p>
      <w:pPr>
        <w:pStyle w:val="Heading3"/>
      </w:pPr>
      <w:r>
        <w:t xml:space="preserve">3.4 Policy Impact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Combination Strategy:</w:t>
      </w:r>
      <w:r>
        <w:t xml:space="preserve"> </w:t>
      </w:r>
      <w:r>
        <w:t xml:space="preserve">Averts</w:t>
      </w:r>
      <w:r>
        <w:t xml:space="preserve"> </w:t>
      </w:r>
      <w:r>
        <w:rPr>
          <w:b/>
          <w:bCs/>
        </w:rPr>
        <w:t xml:space="preserve">1.2 million cases (47%)</w:t>
      </w:r>
      <w:r>
        <w:t xml:space="preserve">, far outperforming Treatment Optimization alone (11%).</w:t>
      </w:r>
    </w:p>
    <w:bookmarkEnd w:id="17"/>
    <w:bookmarkEnd w:id="18"/>
    <w:bookmarkStart w:id="19" w:name="discussion"/>
    <w:p>
      <w:pPr>
        <w:pStyle w:val="Heading2"/>
      </w:pPr>
      <w:r>
        <w:t xml:space="preserve">4. Discussion</w:t>
      </w:r>
    </w:p>
    <w:p>
      <w:pPr>
        <w:pStyle w:val="FirstParagraph"/>
      </w:pPr>
      <w:r>
        <w:t xml:space="preserve">The convergence of our original meta-analysis and machine learning forecasts solidifies the</w:t>
      </w:r>
      <w:r>
        <w:t xml:space="preserve"> </w:t>
      </w:r>
      <w:r>
        <w:t xml:space="preserve">“New Case Paradox.”</w:t>
      </w:r>
      <w:r>
        <w:t xml:space="preserve"> </w:t>
      </w:r>
      <w:r>
        <w:t xml:space="preserve">Primary transmission is not a future risk; it is the current reality. Policies must shift from</w:t>
      </w:r>
      <w:r>
        <w:t xml:space="preserve"> </w:t>
      </w:r>
      <w:r>
        <w:t xml:space="preserve">“suspecting resistance in retreatment”</w:t>
      </w:r>
      <w:r>
        <w:t xml:space="preserve"> </w:t>
      </w:r>
      <w:r>
        <w:t xml:space="preserve">to</w:t>
      </w:r>
      <w:r>
        <w:t xml:space="preserve"> </w:t>
      </w:r>
      <w:r>
        <w:t xml:space="preserve">“expecting resistance in everyone.”</w:t>
      </w:r>
    </w:p>
    <w:bookmarkEnd w:id="19"/>
    <w:bookmarkStart w:id="20" w:name="conclusion"/>
    <w:p>
      <w:pPr>
        <w:pStyle w:val="Heading2"/>
      </w:pPr>
      <w:r>
        <w:t xml:space="preserve">5. Conclusion</w:t>
      </w:r>
    </w:p>
    <w:p>
      <w:pPr>
        <w:pStyle w:val="FirstParagraph"/>
      </w:pPr>
      <w:r>
        <w:t xml:space="preserve">India must pivot to a</w:t>
      </w:r>
      <w:r>
        <w:t xml:space="preserve"> </w:t>
      </w:r>
      <w:r>
        <w:t xml:space="preserve">“Search and Prevent”</w:t>
      </w:r>
      <w:r>
        <w:t xml:space="preserve"> </w:t>
      </w:r>
      <w:r>
        <w:t xml:space="preserve">strategy. Universal NAAT and TPT are the mathematical prerequisites for elimination.</w:t>
      </w:r>
    </w:p>
    <w:bookmarkEnd w:id="20"/>
    <w:bookmarkStart w:id="21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(Full list included in final document)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2025-12-14T15:24:55Z</dcterms:created>
  <dcterms:modified xsi:type="dcterms:W3CDTF">2025-12-14T15:24:55Z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