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India TB &amp; DR-TB Reanalysis (Reproducible Draft)</w:t>
      </w:r>
    </w:p>
    <w:p/>
    <w:p>
      <w:pPr>
        <w:pStyle w:val="Heading2"/>
      </w:pPr>
      <w:r>
        <w:t>Data &amp; Provenance</w:t>
      </w:r>
    </w:p>
    <w:p>
      <w:r>
        <w:t>- World Bank/WHO TB incidence (indicator SH.TBS.INCD)¹</w:t>
      </w:r>
    </w:p>
    <w:p>
      <w:r>
        <w:t>- National notifications &amp; deaths (2021–2024)²</w:t>
      </w:r>
    </w:p>
    <w:p>
      <w:r>
        <w:t>- State notifications (2017–2024)³</w:t>
      </w:r>
    </w:p>
    <w:p>
      <w:r>
        <w:t>- GTB 2025 snapshot notifications (`annual_notifs.csv`, `sub_annual_notifs.csv`)⁴</w:t>
      </w:r>
    </w:p>
    <w:p>
      <w:r>
        <w:t>- GTB routine RR/MDR counts (`drroutine.rda` → `drroutine.csv`)⁴</w:t>
      </w:r>
    </w:p>
    <w:p>
      <w:r>
        <w:t>- WHO MDR/RR-TB burden estimates (2015–2024)⁵</w:t>
      </w:r>
    </w:p>
    <w:p/>
    <w:p>
      <w:pPr>
        <w:pStyle w:val="Heading2"/>
      </w:pPr>
      <w:r>
        <w:t>Methods (Transparent)</w:t>
      </w:r>
    </w:p>
    <w:p>
      <w:r>
        <w:t>- Prefer GTB annual notifications; replace latest year with sub-annual monthly sum when available; fallback to summed state notifications; cross-check with national file for 2021–2024.</w:t>
      </w:r>
    </w:p>
    <w:p>
      <w:r>
        <w:t>- Time-series comparisons: linear (deg1), quadratic (deg2), Holt-style smoothing, Bayesian linear (OLS posterior); holdout = 2023–2024; metrics in `timeseries_model_metrics.csv`.</w:t>
      </w:r>
    </w:p>
    <w:p>
      <w:r>
        <w:t>- RR% trends built from GTB routine RR counts (rr.new, rr.ret) converted to percentages using notification denominators (assumes new/retreated split 87/13) and blended with WHO MDR/RR estimates; projected linearly to 2030 with residual-based CIs.</w:t>
      </w:r>
    </w:p>
    <w:p>
      <w:r>
        <w:t>- Meta-analysis: fixed-effect pooling of annual RR prevalence (new, retreated) from GTB routine counts; outputs in `meta_rr_summary.csv` and forest plots.</w:t>
      </w:r>
    </w:p>
    <w:p>
      <w:r>
        <w:t>- DR burden = notification volume * RR% (new/retreated split of 87/13).</w:t>
      </w:r>
    </w:p>
    <w:p>
      <w:r>
        <w:t>- State DR burden allocated proportional to notification volume (no state RR data available; modeled estimates only).</w:t>
      </w:r>
    </w:p>
    <w:p/>
    <w:p>
      <w:pPr>
        <w:pStyle w:val="Heading2"/>
      </w:pPr>
      <w:r>
        <w:t>Model Performance</w:t>
      </w:r>
    </w:p>
    <w:p>
      <w:r>
        <w:t>- Best model (RMSE): poly_deg1 (RMSE 1.12M; MAE 0.99M)⁶</w:t>
      </w:r>
    </w:p>
    <w:p>
      <w:r>
        <w:t>- Other models: Bayesian linear (RMSE 1.12M), Holt smoothing (RMSE 1.24M), poly_deg2 (RMSE 1.25M).</w:t>
      </w:r>
    </w:p>
    <w:p/>
    <w:p>
      <w:pPr>
        <w:pStyle w:val="Heading2"/>
      </w:pPr>
      <w:r>
        <w:t>Results</w:t>
      </w:r>
    </w:p>
    <w:p>
      <w:r>
        <w:t>- Projected total notifications in 2030 (poly_deg1): ~2,136,812 (95% CI: ~1.46–2.81M).</w:t>
      </w:r>
    </w:p>
    <w:p>
      <w:r>
        <w:t>- Meta-analysis (GTB routine counts): RR prevalence pooled new = 1.03% (95% CI 1.03–1.04); retreated = 8.76% (95% CI 8.72–8.80) (fixed-effect).</w:t>
      </w:r>
    </w:p>
    <w:p>
      <w:r>
        <w:t>- Projected DR/RR-TB burden in 2030: ~189,619 cases (national, modeled from pooled RR%).</w:t>
      </w:r>
    </w:p>
    <w:p>
      <w:r>
        <w:t>- Top 5 states by modeled 2030 DR/RR-TB burden (allocation by volume):</w:t>
      </w:r>
    </w:p>
    <w:p>
      <w:r>
        <w:t xml:space="preserve">  - Uttar Pradesh: ~57,948</w:t>
      </w:r>
    </w:p>
    <w:p>
      <w:r>
        <w:t xml:space="preserve">  - Bihar: ~18,054</w:t>
      </w:r>
    </w:p>
    <w:p>
      <w:r>
        <w:t xml:space="preserve">  - Maharashtra: ~14,426</w:t>
      </w:r>
    </w:p>
    <w:p>
      <w:r>
        <w:t xml:space="preserve">  - Rajasthan: ~13,681</w:t>
      </w:r>
    </w:p>
    <w:p>
      <w:r>
        <w:t xml:space="preserve">  - Madhya Pradesh: ~13,496</w:t>
      </w:r>
    </w:p>
    <w:p/>
    <w:p>
      <w:pPr>
        <w:pStyle w:val="Heading2"/>
      </w:pPr>
      <w:r>
        <w:t>Limitations</w:t>
      </w:r>
    </w:p>
    <w:p>
      <w:r>
        <w:t>- No state-specific RR data; state DR burdens are proportional allocations, not observations.</w:t>
      </w:r>
    </w:p>
    <w:p>
      <w:r>
        <w:t>- RR% from GTB counts uses assumed new/retreated split (87/13); retreated denominator is approximate.</w:t>
      </w:r>
    </w:p>
    <w:p>
      <w:r>
        <w:t>- RR trend projection assumes linear change; sudden program shifts are not captured.</w:t>
      </w:r>
    </w:p>
    <w:p>
      <w:r>
        <w:t>- Notification data are used as incidence proxy; under/over-reporting will influence forecasts.</w:t>
      </w:r>
    </w:p>
    <w:p/>
    <w:p>
      <w:pPr>
        <w:pStyle w:val="Heading2"/>
      </w:pPr>
      <w:r>
        <w:t>Assets</w:t>
      </w:r>
    </w:p>
    <w:p>
      <w:r>
        <w:t>- Figures: national forecast, national DR burden, state DR hotspots, RR meta-analysis forest plots, model comparison plot.</w:t>
      </w:r>
    </w:p>
    <w:p>
      <w:r>
        <w:t>- Tables: processed notifications, RR trend projections, DR burden (national &amp; state), time-series model metrics, meta-analysis tables.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