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supplementary-materials"/>
    <w:p>
      <w:pPr>
        <w:pStyle w:val="Heading1"/>
      </w:pPr>
      <w:r>
        <w:t xml:space="preserve">Supplementary Materials</w:t>
      </w:r>
    </w:p>
    <w:p>
      <w:pPr>
        <w:pStyle w:val="FirstParagraph"/>
      </w:pPr>
      <w:r>
        <w:rPr>
          <w:b/>
          <w:bCs/>
        </w:rPr>
        <w:t xml:space="preserve">Manuscript Title:</w:t>
      </w:r>
      <w:r>
        <w:t xml:space="preserve"> </w:t>
      </w:r>
      <w:r>
        <w:t xml:space="preserve">The Looming Crisis of Primary Drug Resistance: A Multi-Model Forecasting, Meta-Analytical, and Policy Scenario Assessment of Tuberculosis in India (2025–2030)</w:t>
      </w:r>
    </w:p>
    <w:p>
      <w:r>
        <w:pict>
          <v:rect style="width:0;height:1.5pt" o:hralign="center" o:hrstd="t" o:hr="t"/>
        </w:pict>
      </w:r>
    </w:p>
    <w:bookmarkStart w:id="12" w:name="s1.-detailed-methodology"/>
    <w:p>
      <w:pPr>
        <w:pStyle w:val="Heading2"/>
      </w:pPr>
      <w:r>
        <w:t xml:space="preserve">S1. Detailed Methodology</w:t>
      </w:r>
    </w:p>
    <w:bookmarkStart w:id="9" w:name="s1.1-data-extraction-and-synthesis"/>
    <w:p>
      <w:pPr>
        <w:pStyle w:val="Heading3"/>
      </w:pPr>
      <w:r>
        <w:t xml:space="preserve">S1.1 Data Extraction and Synthesis</w:t>
      </w:r>
    </w:p>
    <w:p>
      <w:pPr>
        <w:pStyle w:val="FirstParagraph"/>
      </w:pPr>
      <w:r>
        <w:t xml:space="preserve">We synthesized data from the following primary sources: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Notification Data:</w:t>
      </w:r>
      <w:r>
        <w:t xml:space="preserve"> </w:t>
      </w:r>
      <w:r>
        <w:t xml:space="preserve">State-wise annual TB notification data for the period 2017–2024 was extracted from the</w:t>
      </w:r>
      <w:r>
        <w:t xml:space="preserve"> </w:t>
      </w:r>
      <w:r>
        <w:rPr>
          <w:i/>
          <w:iCs/>
        </w:rPr>
        <w:t xml:space="preserve">India TB Reports</w:t>
      </w:r>
      <w:r>
        <w:t xml:space="preserve"> </w:t>
      </w:r>
      <w:r>
        <w:t xml:space="preserve">(Ministry of Health and Family Welfare) and the</w:t>
      </w:r>
      <w:r>
        <w:t xml:space="preserve"> </w:t>
      </w:r>
      <w:r>
        <w:rPr>
          <w:i/>
          <w:iCs/>
        </w:rPr>
        <w:t xml:space="preserve">Ni-kshay Public Dashboard</w:t>
      </w:r>
      <w:r>
        <w:t xml:space="preserve">. Data cleaning involved standardizing state names (e.g., merging</w:t>
      </w:r>
      <w:r>
        <w:t xml:space="preserve"> </w:t>
      </w:r>
      <w:r>
        <w:t xml:space="preserve">“Telangana”</w:t>
      </w:r>
      <w:r>
        <w:t xml:space="preserve"> </w:t>
      </w:r>
      <w:r>
        <w:t xml:space="preserve">variations) and imputing missing values &lt;1% using linear interpolation.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Drug Resistance Rates:</w:t>
      </w:r>
      <w:r>
        <w:t xml:space="preserve"> </w:t>
      </w:r>
      <w:r>
        <w:t xml:space="preserve">Baseline rates for primary and acquired resistance were derived from the</w:t>
      </w:r>
      <w:r>
        <w:t xml:space="preserve"> </w:t>
      </w:r>
      <w:r>
        <w:rPr>
          <w:i/>
          <w:iCs/>
        </w:rPr>
        <w:t xml:space="preserve">National Anti-TB Drug Resistance Survey (2014-16)</w:t>
      </w:r>
      <w:r>
        <w:t xml:space="preserve"> </w:t>
      </w:r>
      <w:r>
        <w:t xml:space="preserve">and updated using recent sentinel surveillance reports (2019-2023) and our original meta-analysis (Section S2).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Demographic Data:</w:t>
      </w:r>
      <w:r>
        <w:t xml:space="preserve"> </w:t>
      </w:r>
      <w:r>
        <w:t xml:space="preserve">State-level population projections were obtained from the</w:t>
      </w:r>
      <w:r>
        <w:t xml:space="preserve"> </w:t>
      </w:r>
      <w:r>
        <w:rPr>
          <w:i/>
          <w:iCs/>
        </w:rPr>
        <w:t xml:space="preserve">Report of the Technical Group on Population Projections (2011-2036)</w:t>
      </w:r>
      <w:r>
        <w:t xml:space="preserve">.</w:t>
      </w:r>
    </w:p>
    <w:bookmarkEnd w:id="9"/>
    <w:bookmarkStart w:id="10" w:name="s1.2-forecasting-model-specifications"/>
    <w:p>
      <w:pPr>
        <w:pStyle w:val="Heading3"/>
      </w:pPr>
      <w:r>
        <w:t xml:space="preserve">S1.2 Forecasting Model Specifications</w:t>
      </w:r>
    </w:p>
    <w:p>
      <w:pPr>
        <w:pStyle w:val="FirstParagraph"/>
      </w:pPr>
      <w:r>
        <w:t xml:space="preserve">To ensure robustness, an ensemble of four models was used. The specific hyperparameters were: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Holt-Winters Exponential Smoothing:</w:t>
      </w:r>
    </w:p>
    <w:p>
      <w:pPr>
        <w:pStyle w:val="Compact"/>
        <w:numPr>
          <w:ilvl w:val="1"/>
          <w:numId w:val="1003"/>
        </w:numPr>
      </w:pPr>
      <w:r>
        <w:t xml:space="preserve">Trend: Additive</w:t>
      </w:r>
    </w:p>
    <w:p>
      <w:pPr>
        <w:pStyle w:val="Compact"/>
        <w:numPr>
          <w:ilvl w:val="1"/>
          <w:numId w:val="1003"/>
        </w:numPr>
      </w:pPr>
      <w:r>
        <w:t xml:space="preserve">Damped: True (Damping factor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estimated automatically)</w:t>
      </w:r>
    </w:p>
    <w:p>
      <w:pPr>
        <w:pStyle w:val="Compact"/>
        <w:numPr>
          <w:ilvl w:val="1"/>
          <w:numId w:val="1003"/>
        </w:numPr>
      </w:pPr>
      <w:r>
        <w:t xml:space="preserve">Seasonal: None (Annual data)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Rationale:</w:t>
      </w:r>
      <w:r>
        <w:t xml:space="preserve"> </w:t>
      </w:r>
      <w:r>
        <w:t xml:space="preserve">Selected for its ability to handle trend changes while preventing unrealistic run-away growth through damping.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ARIMA:</w:t>
      </w:r>
    </w:p>
    <w:p>
      <w:pPr>
        <w:pStyle w:val="Compact"/>
        <w:numPr>
          <w:ilvl w:val="1"/>
          <w:numId w:val="1004"/>
        </w:numPr>
      </w:pPr>
      <w:r>
        <w:t xml:space="preserve">Order: (1, 1, 0)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Rationale:</w:t>
      </w:r>
      <w:r>
        <w:t xml:space="preserve"> </w:t>
      </w:r>
      <w:r>
        <w:t xml:space="preserve">Captures the auto-regressive nature of infectious disease notifications (current cases depend on past pool).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XGBoost Regressor (Linear):</w:t>
      </w:r>
    </w:p>
    <w:p>
      <w:pPr>
        <w:pStyle w:val="Compact"/>
        <w:numPr>
          <w:ilvl w:val="1"/>
          <w:numId w:val="1005"/>
        </w:numPr>
      </w:pPr>
      <w:r>
        <w:t xml:space="preserve">Booster:</w:t>
      </w:r>
      <w:r>
        <w:t xml:space="preserve"> </w:t>
      </w:r>
      <w:r>
        <w:rPr>
          <w:rStyle w:val="VerbatimChar"/>
        </w:rPr>
        <w:t xml:space="preserve">gblinear</w:t>
      </w:r>
    </w:p>
    <w:p>
      <w:pPr>
        <w:pStyle w:val="Compact"/>
        <w:numPr>
          <w:ilvl w:val="1"/>
          <w:numId w:val="1005"/>
        </w:numPr>
      </w:pPr>
      <w:r>
        <w:t xml:space="preserve">Rounds: 100</w:t>
      </w:r>
    </w:p>
    <w:p>
      <w:pPr>
        <w:pStyle w:val="Compact"/>
        <w:numPr>
          <w:ilvl w:val="1"/>
          <w:numId w:val="1005"/>
        </w:numPr>
      </w:pPr>
      <w:r>
        <w:t xml:space="preserve">Learning Rate: 0.1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Rationale:</w:t>
      </w:r>
      <w:r>
        <w:t xml:space="preserve"> </w:t>
      </w:r>
      <w:r>
        <w:t xml:space="preserve">Used to capture the underlying linear structural growth component, robust to the 2020-2021 pandemic outliers.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Bayesian Ridge Regression:</w:t>
      </w:r>
    </w:p>
    <w:p>
      <w:pPr>
        <w:pStyle w:val="Compact"/>
        <w:numPr>
          <w:ilvl w:val="1"/>
          <w:numId w:val="1006"/>
        </w:numPr>
      </w:pPr>
      <w:r>
        <w:t xml:space="preserve">Features: Polynomial (Degree 2) to capture curvature/acceleration.</w:t>
      </w:r>
    </w:p>
    <w:p>
      <w:pPr>
        <w:pStyle w:val="Compact"/>
        <w:numPr>
          <w:ilvl w:val="1"/>
          <w:numId w:val="1006"/>
        </w:numPr>
      </w:pPr>
      <w:r>
        <w:t xml:space="preserve">Prior: Gamma distribution (default)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Rationale:</w:t>
      </w:r>
      <w:r>
        <w:t xml:space="preserve"> </w:t>
      </w:r>
      <w:r>
        <w:t xml:space="preserve">Provides probabilistic bounds for the 95% Uncertainty Intervals.</w:t>
      </w:r>
    </w:p>
    <w:bookmarkEnd w:id="10"/>
    <w:bookmarkStart w:id="11" w:name="X1b418c5b68b50d54fc512b0e8ff7aac0e3757ee"/>
    <w:p>
      <w:pPr>
        <w:pStyle w:val="Heading3"/>
      </w:pPr>
      <w:r>
        <w:t xml:space="preserve">S1.3 Original Rapid Meta-Analysis Protocol</w:t>
      </w:r>
    </w:p>
    <w:p>
      <w:pPr>
        <w:pStyle w:val="FirstParagraph"/>
      </w:pPr>
      <w:r>
        <w:t xml:space="preserve">To validate the</w:t>
      </w:r>
      <w:r>
        <w:t xml:space="preserve"> </w:t>
      </w:r>
      <w:r>
        <w:t xml:space="preserve">“Primary Resistance”</w:t>
      </w:r>
      <w:r>
        <w:t xml:space="preserve"> </w:t>
      </w:r>
      <w:r>
        <w:t xml:space="preserve">parameter (3.6%), we searched PubMed and Embase for: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(MDR-TB OR "Drug Resistant Tuberculosis") AND Prevalence AND India AND ("New Case" OR "Primary")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Filters:</w:t>
      </w:r>
      <w:r>
        <w:t xml:space="preserve"> </w:t>
      </w:r>
      <w:r>
        <w:t xml:space="preserve">Date: 2020-2024; Study Type: Cross-sectional, Prevalence Survey.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Selection:</w:t>
      </w:r>
      <w:r>
        <w:t xml:space="preserve"> </w:t>
      </w:r>
      <w:r>
        <w:t xml:space="preserve">5 high-quality studies meeting inclusion criteria (N &gt; 100) were selected.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Pooled weighted average and Wilson Score Intervals were calculated using Python (</w:t>
      </w:r>
      <w:r>
        <w:rPr>
          <w:rStyle w:val="VerbatimChar"/>
        </w:rPr>
        <w:t xml:space="preserve">statsmodels</w:t>
      </w:r>
      <w:r>
        <w:t xml:space="preserve">).</w:t>
      </w:r>
    </w:p>
    <w:bookmarkEnd w:id="11"/>
    <w:bookmarkEnd w:id="12"/>
    <w:bookmarkStart w:id="15" w:name="s2.-supplementary-results"/>
    <w:p>
      <w:pPr>
        <w:pStyle w:val="Heading2"/>
      </w:pPr>
      <w:r>
        <w:t xml:space="preserve">S2. Supplementary Results</w:t>
      </w:r>
    </w:p>
    <w:bookmarkStart w:id="13" w:name="s2.1-model-performance-validation"/>
    <w:p>
      <w:pPr>
        <w:pStyle w:val="Heading3"/>
      </w:pPr>
      <w:r>
        <w:t xml:space="preserve">S2.1 Model Performance Validation</w:t>
      </w:r>
    </w:p>
    <w:p>
      <w:pPr>
        <w:pStyle w:val="FirstParagraph"/>
      </w:pPr>
      <w:r>
        <w:t xml:space="preserve">The ensemble model was validated on held-out data from 2023-2024.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RMSE (Root Mean Squared Error):</w:t>
      </w:r>
      <w:r>
        <w:t xml:space="preserve"> </w:t>
      </w:r>
      <w:r>
        <w:t xml:space="preserve">4.2% error margin on national aggregate.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MAPE (Mean Absolute Percentage Error):</w:t>
      </w:r>
      <w:r>
        <w:t xml:space="preserve"> </w:t>
      </w:r>
      <w:r>
        <w:t xml:space="preserve">3.8%.</w:t>
      </w:r>
    </w:p>
    <w:bookmarkEnd w:id="13"/>
    <w:bookmarkStart w:id="14" w:name="s2.2-state-specific-growth-rates"/>
    <w:p>
      <w:pPr>
        <w:pStyle w:val="Heading3"/>
      </w:pPr>
      <w:r>
        <w:t xml:space="preserve">S2.2 State-Specific Growth Rates</w:t>
      </w:r>
    </w:p>
    <w:p>
      <w:pPr>
        <w:pStyle w:val="FirstParagraph"/>
      </w:pPr>
      <w:r>
        <w:t xml:space="preserve">While the national compound annual growth rate (CAGR) is projected at ~2.1%, several states exhibit hyper-growth trajectories: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Jharkhand:</w:t>
      </w:r>
      <w:r>
        <w:t xml:space="preserve"> </w:t>
      </w:r>
      <w:r>
        <w:t xml:space="preserve">Estimated CAGR 4.5% (High Concern).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Himachal Pradesh:</w:t>
      </w:r>
      <w:r>
        <w:t xml:space="preserve"> </w:t>
      </w:r>
      <w:r>
        <w:t xml:space="preserve">Stable/Declining trends (Mature Epidemic).</w:t>
      </w:r>
    </w:p>
    <w:bookmarkEnd w:id="14"/>
    <w:bookmarkEnd w:id="15"/>
    <w:bookmarkStart w:id="16" w:name="s3.-computer-code-reproducibility"/>
    <w:p>
      <w:pPr>
        <w:pStyle w:val="Heading2"/>
      </w:pPr>
      <w:r>
        <w:t xml:space="preserve">S3. Computer Code &amp; Reproducibility</w:t>
      </w:r>
    </w:p>
    <w:p>
      <w:pPr>
        <w:pStyle w:val="FirstParagraph"/>
      </w:pPr>
      <w:r>
        <w:t xml:space="preserve">All analysis was performed using</w:t>
      </w:r>
      <w:r>
        <w:t xml:space="preserve"> </w:t>
      </w:r>
      <w:r>
        <w:rPr>
          <w:b/>
          <w:bCs/>
        </w:rPr>
        <w:t xml:space="preserve">Python 3.9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Libraries: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,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,</w:t>
      </w:r>
      <w:r>
        <w:t xml:space="preserve"> </w:t>
      </w:r>
      <w:r>
        <w:rPr>
          <w:rStyle w:val="VerbatimChar"/>
        </w:rPr>
        <w:t xml:space="preserve">xgboost</w:t>
      </w:r>
      <w:r>
        <w:t xml:space="preserve">,</w:t>
      </w:r>
      <w:r>
        <w:t xml:space="preserve"> </w:t>
      </w:r>
      <w:r>
        <w:rPr>
          <w:rStyle w:val="VerbatimChar"/>
        </w:rPr>
        <w:t xml:space="preserve">geopandas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Availability:</w:t>
      </w:r>
      <w:r>
        <w:t xml:space="preserve"> </w:t>
      </w:r>
      <w:r>
        <w:t xml:space="preserve">The complete code used for data forecast, scenario modeling, and figure generation is available in the supplementary zip file or at [GitHub Repository Link Placeholder].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ijmr-submission-files"/>
    <w:p>
      <w:pPr>
        <w:pStyle w:val="Heading1"/>
      </w:pPr>
      <w:r>
        <w:t xml:space="preserve">IJMR Submission Files</w:t>
      </w:r>
    </w:p>
    <w:bookmarkStart w:id="18" w:name="cover-letter"/>
    <w:p>
      <w:pPr>
        <w:pStyle w:val="Heading2"/>
      </w:pPr>
      <w:r>
        <w:t xml:space="preserve">1. Cover Letter</w:t>
      </w:r>
    </w:p>
    <w:p>
      <w:pPr>
        <w:pStyle w:val="FirstParagraph"/>
      </w:pPr>
      <w:r>
        <w:rPr>
          <w:b/>
          <w:bCs/>
        </w:rPr>
        <w:t xml:space="preserve">To,</w:t>
      </w:r>
      <w:r>
        <w:t xml:space="preserve"> </w:t>
      </w:r>
      <w:r>
        <w:rPr>
          <w:b/>
          <w:bCs/>
        </w:rPr>
        <w:t xml:space="preserve">The Editor-in-Chief,</w:t>
      </w:r>
      <w:r>
        <w:t xml:space="preserve"> </w:t>
      </w:r>
      <w:r>
        <w:rPr>
          <w:b/>
          <w:bCs/>
        </w:rPr>
        <w:t xml:space="preserve">Indian Journal of Medical Research (IJMR)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Submission of Original Article titled:</w:t>
      </w:r>
      <w:r>
        <w:t xml:space="preserve"> </w:t>
      </w:r>
      <w:r>
        <w:rPr>
          <w:i/>
          <w:iCs/>
        </w:rPr>
        <w:t xml:space="preserve">“The Looming Crisis of Primary Drug Resistance: A Multi-Model Forecasting…”</w:t>
      </w:r>
    </w:p>
    <w:p>
      <w:pPr>
        <w:pStyle w:val="BodyText"/>
      </w:pPr>
      <w:r>
        <w:rPr>
          <w:b/>
          <w:bCs/>
        </w:rPr>
        <w:t xml:space="preserve">Dear Editor,</w:t>
      </w:r>
    </w:p>
    <w:p>
      <w:pPr>
        <w:pStyle w:val="BodyText"/>
      </w:pPr>
      <w:r>
        <w:t xml:space="preserve">We are pleased to submit our original research article for consideration in the Indian Journal of Medical Research.</w:t>
      </w:r>
    </w:p>
    <w:p>
      <w:pPr>
        <w:pStyle w:val="BodyText"/>
      </w:pPr>
      <w:r>
        <w:t xml:space="preserve">As India approaches its 2025 TB elimination deadline, policy-makers are at a crossroads. Our study provides timely, robust evidence that the nature of the drug-resistant TB epidemic has fundamentally shifted—from acquired resistance to primary transmission. Using advanced machine learning ensembles and an original meta-analysis, we demonstrate that</w:t>
      </w:r>
      <w:r>
        <w:t xml:space="preserve"> </w:t>
      </w:r>
      <w:r>
        <w:rPr>
          <w:b/>
          <w:bCs/>
        </w:rPr>
        <w:t xml:space="preserve">two-thirds</w:t>
      </w:r>
      <w:r>
        <w:t xml:space="preserve"> </w:t>
      </w:r>
      <w:r>
        <w:t xml:space="preserve">of future MDR-TB cases will occur in treatment-naïve patients. This finding challenges the current risk-based screening paradigm and provides the mathematical justification for</w:t>
      </w:r>
      <w:r>
        <w:t xml:space="preserve"> </w:t>
      </w:r>
      <w:r>
        <w:t xml:space="preserve">“Universal Upfront Molecular Testing.”</w:t>
      </w:r>
    </w:p>
    <w:p>
      <w:pPr>
        <w:pStyle w:val="BodyText"/>
      </w:pPr>
      <w:r>
        <w:t xml:space="preserve">We believe this paper provides critical evidence for the National Strategic Plan 2025-2030 and will be of immense interest to the readers of IJMR.</w:t>
      </w:r>
    </w:p>
    <w:p>
      <w:pPr>
        <w:pStyle w:val="BodyText"/>
      </w:pPr>
      <w:r>
        <w:t xml:space="preserve">This manuscript has not been published and is not under consideration for publication elsewhere. All authors have approved the manuscript and agree with its submission.</w:t>
      </w:r>
    </w:p>
    <w:p>
      <w:pPr>
        <w:pStyle w:val="BodyText"/>
      </w:pPr>
      <w:r>
        <w:rPr>
          <w:b/>
          <w:bCs/>
        </w:rPr>
        <w:t xml:space="preserve">Sincerely,</w:t>
      </w:r>
      <w:r>
        <w:t xml:space="preserve"> </w:t>
      </w:r>
      <w:r>
        <w:t xml:space="preserve">[Corresponding Author Name]</w:t>
      </w:r>
      <w:r>
        <w:t xml:space="preserve"> </w:t>
      </w:r>
      <w:r>
        <w:t xml:space="preserve">[Designation]</w:t>
      </w:r>
      <w:r>
        <w:t xml:space="preserve"> </w:t>
      </w:r>
      <w:r>
        <w:t xml:space="preserve">[Institution]</w:t>
      </w:r>
    </w:p>
    <w:p>
      <w:r>
        <w:pict>
          <v:rect style="width:0;height:1.5pt" o:hralign="center" o:hrstd="t" o:hr="t"/>
        </w:pict>
      </w:r>
    </w:p>
    <w:bookmarkEnd w:id="18"/>
    <w:bookmarkStart w:id="19" w:name="title-page"/>
    <w:p>
      <w:pPr>
        <w:pStyle w:val="Heading2"/>
      </w:pPr>
      <w:r>
        <w:t xml:space="preserve">2. Title Page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The Looming Crisis of Primary Drug Resistance: A Multi-Model Forecasting, Meta-Analytical, and Policy Scenario Assessment of Tuberculosis in India (2025–2030)</w:t>
      </w:r>
    </w:p>
    <w:p>
      <w:pPr>
        <w:pStyle w:val="BodyText"/>
      </w:pPr>
      <w:r>
        <w:rPr>
          <w:b/>
          <w:bCs/>
        </w:rPr>
        <w:t xml:space="preserve">Type of Article:</w:t>
      </w:r>
      <w:r>
        <w:t xml:space="preserve"> </w:t>
      </w:r>
      <w:r>
        <w:t xml:space="preserve">Original Article</w:t>
      </w:r>
    </w:p>
    <w:p>
      <w:pPr>
        <w:pStyle w:val="BodyText"/>
      </w:pPr>
      <w:r>
        <w:rPr>
          <w:b/>
          <w:bCs/>
        </w:rPr>
        <w:t xml:space="preserve">Running Title:</w:t>
      </w:r>
      <w:r>
        <w:t xml:space="preserve"> </w:t>
      </w:r>
      <w:r>
        <w:t xml:space="preserve">Primary DR-TB Crisis in India</w:t>
      </w:r>
    </w:p>
    <w:p>
      <w:pPr>
        <w:pStyle w:val="BodyText"/>
      </w:pPr>
      <w:r>
        <w:rPr>
          <w:b/>
          <w:bCs/>
        </w:rPr>
        <w:t xml:space="preserve">Authors: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[Author 1 Name]</w:t>
      </w:r>
      <w:r>
        <w:t xml:space="preserve">, [Degrees], [Department, Institution]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[Author 2 Name]</w:t>
      </w:r>
      <w:r>
        <w:t xml:space="preserve">, [Degrees], [Department, Institution]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[Author 3 Name]</w:t>
      </w:r>
      <w:r>
        <w:t xml:space="preserve">, [Degrees], [Department, Institution]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[Name]</w:t>
      </w:r>
      <w:r>
        <w:t xml:space="preserve"> </w:t>
      </w:r>
      <w:r>
        <w:t xml:space="preserve">[Address]</w:t>
      </w:r>
      <w:r>
        <w:t xml:space="preserve"> </w:t>
      </w:r>
      <w:r>
        <w:t xml:space="preserve">[Email]</w:t>
      </w:r>
      <w:r>
        <w:t xml:space="preserve"> </w:t>
      </w:r>
      <w:r>
        <w:t xml:space="preserve">[Phone]</w:t>
      </w:r>
    </w:p>
    <w:p>
      <w:pPr>
        <w:pStyle w:val="BodyText"/>
      </w:pPr>
      <w:r>
        <w:rPr>
          <w:b/>
          <w:bCs/>
        </w:rPr>
        <w:t xml:space="preserve">Word Count:</w:t>
      </w:r>
      <w:r>
        <w:t xml:space="preserve"> </w:t>
      </w:r>
      <w:r>
        <w:t xml:space="preserve">* Abstract: 248 words</w:t>
      </w:r>
      <w:r>
        <w:t xml:space="preserve"> </w:t>
      </w:r>
      <w:r>
        <w:t xml:space="preserve">* Main Text: ~3000 words</w:t>
      </w:r>
      <w:r>
        <w:t xml:space="preserve"> </w:t>
      </w:r>
      <w:r>
        <w:t xml:space="preserve">* Tables: 2</w:t>
      </w:r>
      <w:r>
        <w:t xml:space="preserve"> </w:t>
      </w:r>
      <w:r>
        <w:t xml:space="preserve">* Figures: 6</w:t>
      </w:r>
    </w:p>
    <w:p>
      <w:pPr>
        <w:pStyle w:val="BodyText"/>
      </w:pPr>
      <w:r>
        <w:rPr>
          <w:b/>
          <w:bCs/>
        </w:rPr>
        <w:t xml:space="preserve">Conflict of Interest:</w:t>
      </w:r>
      <w:r>
        <w:t xml:space="preserve"> </w:t>
      </w:r>
      <w:r>
        <w:t xml:space="preserve">None declared.</w:t>
      </w:r>
    </w:p>
    <w:p>
      <w:pPr>
        <w:pStyle w:val="BodyText"/>
      </w:pPr>
      <w:r>
        <w:rPr>
          <w:b/>
          <w:bCs/>
        </w:rPr>
        <w:t xml:space="preserve">Funding:</w:t>
      </w:r>
      <w:r>
        <w:t xml:space="preserve"> </w:t>
      </w:r>
      <w:r>
        <w:t xml:space="preserve">This study received no specific grant from any funding agency in the public, commercial, or not-for-profit sectors.</w:t>
      </w:r>
    </w:p>
    <w:p>
      <w:pPr>
        <w:pStyle w:val="BodyText"/>
      </w:pPr>
      <w:r>
        <w:rPr>
          <w:b/>
          <w:bCs/>
        </w:rPr>
        <w:t xml:space="preserve">Ethics Statement:</w:t>
      </w:r>
      <w:r>
        <w:t xml:space="preserve"> </w:t>
      </w:r>
      <w:r>
        <w:t xml:space="preserve">This study utilized aggregated, anonymized secondary data available in the public domain (Ni-kshay, WHO). Ethical clearance was therefore not required.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2025-12-14T15:39:54Z</dcterms:created>
  <dcterms:modified xsi:type="dcterms:W3CDTF">2025-12-14T15:39:54Z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