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t>Stagnation or Elimination? Forecasting India's Multidrug-Resistant Tuberculosis Burden (2025-2035) Using Authentic Surveillance Data</w:t>
      </w:r>
    </w:p>
    <w:p>
      <w:pPr>
        <w:pStyle w:val="MetaInfo"/>
      </w:pPr>
      <w:r>
        <w:t>Siddalingaiah H S¹</w:t>
      </w:r>
    </w:p>
    <w:p>
      <w:pPr>
        <w:pStyle w:val="MetaInfo"/>
      </w:pPr>
      <w:r>
        <w:t>¹Independent Researcher, Bengaluru, Karnataka, India</w:t>
      </w:r>
    </w:p>
    <w:p>
      <w:pPr>
        <w:pStyle w:val="MetaInfo"/>
      </w:pPr>
      <w:r>
        <w:rPr>
          <w:b/>
        </w:rPr>
        <w:t>Corresponding Author:</w:t>
      </w:r>
    </w:p>
    <w:p>
      <w:pPr>
        <w:pStyle w:val="MetaInfo"/>
      </w:pPr>
      <w:r>
        <w:t>Dr. Siddalingaiah H S</w:t>
        <w:br/>
        <w:t>Independent Researcher</w:t>
        <w:br/>
        <w:t>Email: hssling@yahoo.com</w:t>
      </w:r>
    </w:p>
    <w:p>
      <w:pPr>
        <w:pStyle w:val="MetaInfo"/>
      </w:pPr>
      <w:r>
        <w:t>Running Title: Forecasting India's MDR-TB Burden (2025-2035)</w:t>
      </w:r>
    </w:p>
    <w:p>
      <w:r>
        <w:br w:type="page"/>
      </w:r>
    </w:p>
    <w:p>
      <w:pPr>
        <w:pStyle w:val="SectionHeading"/>
      </w:pPr>
      <w:r>
        <w:t>Abstract</w:t>
      </w:r>
    </w:p>
    <w:p>
      <w:pPr>
        <w:pStyle w:val="CustomNormal"/>
      </w:pPr>
      <w:r>
        <w:rPr>
          <w:b/>
        </w:rPr>
        <w:t>**Background**:</w:t>
      </w:r>
      <w:r/>
    </w:p>
    <w:p>
      <w:pPr>
        <w:pStyle w:val="CustomNormal"/>
      </w:pPr>
      <w:r>
        <w:t>India bears the highest global burden of multidrug-resistant tuberculosis (MDR-TB), accounting for approximately one-third of all cases worldwide. Despite significant expansion in molecular diagnostic capacity under the National Strategic Plan (NSP), the long-term trajectory of the epidemic remains ill-defined. This study aims to generate robust, evidence-based projections of India's MDR-TB burden through 2035, quantifying the divergence between current programmatic inertia and the required elimination pathways defined by the End TB Strategy.</w:t>
      </w:r>
    </w:p>
    <w:p>
      <w:pPr>
        <w:pStyle w:val="CustomNormal"/>
      </w:pPr>
      <w:r>
        <w:rPr>
          <w:b/>
        </w:rPr>
        <w:t>**Methods**:</w:t>
      </w:r>
      <w:r/>
    </w:p>
    <w:p>
      <w:pPr>
        <w:pStyle w:val="CustomNormal"/>
      </w:pPr>
      <w:r>
        <w:t>We conducted a rigorous time-series forecasting analysis using verified public health surveillance data from the World Health Organization (WHO) Global TB Reports and Indian Council of Medical Research-National TB Elimination Programme (ICMR-NTEP) Annual Reports (2017–2024). A Holt-Winters Damped Trend Exponential Smoothing model was employed to account for the recent "saturation kinetics" observed in case detection. Three counterfactual scenarios were simulated to bound future uncertainty: (1) Status Quo (baseline trend continuation), (2) Optimistic (enhanced preventive therapy and active case finding), and (3) Pessimistic (escalating antimicrobial resistance).</w:t>
      </w:r>
    </w:p>
    <w:p>
      <w:pPr>
        <w:pStyle w:val="CustomNormal"/>
      </w:pPr>
      <w:r>
        <w:rPr>
          <w:b/>
        </w:rPr>
        <w:t>**Results**:</w:t>
      </w:r>
      <w:r/>
    </w:p>
    <w:p>
      <w:pPr>
        <w:pStyle w:val="CustomNormal"/>
      </w:pPr>
      <w:r>
        <w:t>Under verified baseline conditions, MDR-TB detection has plateaued at approximately 65,000 cases annually (2024 provisional data), suggesting a saturation of current diagnostic networks. The forecasting model projects a stabilization of the "true burden" (including private sector contribution) at **84,205 incident cases** (95% CI: 72,467–98,044) by 2030, indicating a failure to achieve elimination targets. Conversely, the optimistic intervention scenario demonstrates a potential **28% reduction** in burden by 2030 (59,910 cases). The cumulative impact analysis indicates that shifting to the optimized strategy would avert approximately **217,000** MDR-TB cases between 2025 and 2035.</w:t>
      </w:r>
    </w:p>
    <w:p>
      <w:pPr>
        <w:pStyle w:val="CustomNormal"/>
      </w:pPr>
      <w:r>
        <w:t>### Interpretation</w:t>
      </w:r>
    </w:p>
    <w:p>
      <w:pPr>
        <w:pStyle w:val="CustomNormal"/>
      </w:pPr>
      <w:r>
        <w:t>Current intervention strategies are reaching a point of diminishing returns, leading to a state of high-level endemicity rather than rapid decline. Achieving the END-TB Strategy targets requires a structural paradigm shift from passive case finding to active interruption of transmission through targeted preventive therapy and comprehensive private sector integration.</w:t>
      </w:r>
    </w:p>
    <w:p>
      <w:pPr>
        <w:pStyle w:val="CustomNormal"/>
      </w:pPr>
      <w:r>
        <w:rPr>
          <w:b/>
        </w:rPr>
        <w:t>**Keywords**:</w:t>
      </w:r>
      <w:r/>
    </w:p>
    <w:p>
      <w:pPr>
        <w:pStyle w:val="CustomNormal"/>
      </w:pPr>
      <w:r>
        <w:t>Multidrug-resistant tuberculosis, epidemiology, forecasting, Holt-Winters model, health policy, India, antimicrobial resistance, public health surveillance</w:t>
      </w:r>
    </w:p>
    <w:p>
      <w:r>
        <w:br w:type="page"/>
      </w:r>
    </w:p>
    <w:p>
      <w:pPr>
        <w:pStyle w:val="SectionHeading"/>
      </w:pPr>
      <w:r>
        <w:t>Introduction</w:t>
      </w:r>
    </w:p>
    <w:p>
      <w:pPr>
        <w:pStyle w:val="SubsectionHeading"/>
      </w:pPr>
      <w:r>
        <w:t>1.1 The Global and National Burden of Antimicrobial Resistance</w:t>
        <w:br/>
        <w:t>Antimicrobial resistance (AMR) is increasingly recognized as a "silent pandemic," with drug-resistant tuberculosis (DR-TB) serving as its most lethal airborne component. India, home to 27% of the world’s TB cases, faces a disproportionate share of this burden. According to the *WHO Global Tuberculosis Report 2024*, India accounted for **27%** of global multidrug-resistant/rifampicin-resistant TB (MDR/RR-TB) incident cases.&lt;sup&gt;1&lt;/sup&gt; This epidemiological dominance means that the global success of the "End TB Strategy" is inextricably linked to India’s performance.</w:t>
      </w:r>
    </w:p>
    <w:p>
      <w:pPr>
        <w:pStyle w:val="SubsectionHeading"/>
      </w:pPr>
      <w:r>
        <w:t>1.2 Mechanisms of Resistance and the "Missing Cases"</w:t>
        <w:br/>
        <w:t>The emergence of MDR-TB in India is driven by a complex interplay of biological and health system factors. Biologically, the *Mycobacterium tuberculosis* complex exhibits high mutation rates under selective pressure from inadequate therapy. Health system vulnerabilities—such as irrational prescription practices in the unregulated private sector, poor treatment adherence, and supply chain interruptions—amplify this pressure.&lt;sup&gt;2&lt;/sup&gt;</w:t>
      </w:r>
    </w:p>
    <w:p>
      <w:pPr>
        <w:pStyle w:val="CustomNormal"/>
      </w:pPr>
      <w:r>
        <w:t>A critical turning point was the National TB Prevalence Survey (2019-2021), which revealed a stark discordance between notified cases and true community prevalence.3 The survey highlighted a massive "sub-clinical reservoir" of patients who are asymptomatic or largely untreated but infectious. These "missing cases" act as vectors for primary transmission of resistant strains, challenging the traditional dogma that MDR-TB is primarily an acquired condition resulting from failed prior treatment.</w:t>
      </w:r>
    </w:p>
    <w:p>
      <w:pPr>
        <w:pStyle w:val="SubsectionHeading"/>
      </w:pPr>
      <w:r>
        <w:t>1.3 Programmatic Transitions: From RNTCP to NTEP</w:t>
        <w:br/>
        <w:t>The transition from the Revised National Tuberculosis Control Programme (RNTCP) to the National TB Elimination Programme (NTEP) marked a shift in ambition. The scale-up of rapid molecular diagnostics (CBNAAT and TrueNat) and the implementation of the Universal Drug Susceptibility Testing (UDST) policy were watershed moments.&lt;sup&gt;4&lt;/sup&gt; Consequently, MDR-TB detection surged from ~39,000 in 2017 to over 65,000 in 2024. However, recent data suggests a "diagnostic saturation," where the yield of new cases per unit of effort is plateauing.&lt;sup&gt;5&lt;/sup&gt;</w:t>
      </w:r>
    </w:p>
    <w:p>
      <w:pPr>
        <w:pStyle w:val="SubsectionHeading"/>
      </w:pPr>
      <w:r>
        <w:t>1.4 The Rationale for Advanced Forecasting</w:t>
        <w:br/>
        <w:t>Most existing projections rely on linear regression or target-based modeling, which often assume constant rates of decline. These models fail to account for the "dampening" effect seen in mature public health interventions, where initial rapid gains slow down as the hardest-to-reach populations remain uncovered. This study employs **Holt-Winters Damped Trend Exponential Smoothing**, a sophisticated time-series technique, to provide a biologically plausible forecast. It specifically aims to quantify the "Cost of Inaction"—the human and public health cost of maintaining the status quo versus adopting disruptive innovations.</w:t>
      </w:r>
    </w:p>
    <w:p>
      <w:pPr>
        <w:pStyle w:val="SubsectionHeading"/>
      </w:pPr>
      <w:r>
        <w:t>1.5 Economic Burden and Biosafety Risks</w:t>
        <w:br/>
        <w:t>Beyond the direct health impact, MDR-TB imposes a substantial economic burden on individuals, families, and the national health system. Treatment for MDR-TB is significantly more expensive and prolonged than for drug-sensitive TB, often requiring multiple second-line drugs with severe side effects. This leads to catastrophic out-of-pocket expenditures for patients, loss of productivity, and increased healthcare costs.&lt;sup&gt;6&lt;/sup&gt; Furthermore, the handling of highly infectious MDR-TB strains in diagnostic laboratories and healthcare settings poses significant biosafety risks, necessitating stringent infection control measures and specialized infrastructure to prevent nosocomial transmission and occupational exposure. The potential for airborne transmission of highly resistant strains underscores the critical need for effective control strategies.</w:t>
      </w:r>
    </w:p>
    <w:p>
      <w:pPr>
        <w:pStyle w:val="SectionHeading"/>
      </w:pPr>
      <w:r>
        <w:t>Results</w:t>
      </w:r>
    </w:p>
    <w:p>
      <w:pPr>
        <w:pStyle w:val="SubsectionHeading"/>
      </w:pPr>
      <w:r>
        <w:t>3.1 Historical Trend Analysis and Diagnostic Saturation (2017–2024)</w:t>
        <w:br/>
        <w:t>The historical analysis reveals a story of rapid expansion followed by stabilization. Between 2017 and 2019, detected cases rose by 70% (39,009 to 66,359), reflecting the rollout of CBNAAT. Following the COVID-19 dip in 2020-21, the system recovered to 63,801 cases in 2022 and ~65,200 in 2024.</w:t>
        <w:br/>
        <w:t>Crucially, the rate of growth has slowed. The year-over-year increase dropped from ~49% (2017-18) to &lt;2% (2023-24). This "flattening of the curve" indicates that the program has captured the "low-hanging fruit"—patients effectively seeking care—but is struggling to penetrate the "deep reservoir" of missing cases. This diagnostic saturation suggests that passive case finding alone is insufficient to drive further significant reductions.</w:t>
      </w:r>
    </w:p>
    <w:p>
      <w:pPr>
        <w:pStyle w:val="SubsectionHeading"/>
      </w:pPr>
      <w:r>
        <w:t>3.2 Projected Burden Trajectories (2025–2035)</w:t>
      </w:r>
    </w:p>
    <w:p>
      <w:pPr>
        <w:pStyle w:val="CustomNormal"/>
      </w:pPr>
      <w:r>
        <w:rPr>
          <w:b/>
          <w:i/>
        </w:rPr>
        <w:t>The Stagnation of the Status Quo</w:t>
        <w:br/>
        <w:t>The Holt-Winters model forecasts a persistent high-burden state. The estimated true incidence is projected to stabilize at roughly **84,200 cases/year** by 2030 (Table 2). The trend line (Figure 1) shows a distinct "leveling off," confirming the hypothesis of programmatic saturation. Without structural change, India will likely miss the SDG 2030 targets for TB elimination by a wide margin.</w:t>
      </w:r>
    </w:p>
    <w:p>
      <w:pPr>
        <w:pStyle w:val="CustomNormal"/>
      </w:pPr>
      <w:r>
        <w:rPr>
          <w:b/>
          <w:i/>
        </w:rPr>
        <w:t>Divergence of Futures: The Policy Gap</w:t>
        <w:br/>
        <w:t>By 2030, the gap between the Optimistic and Pessimistic scenarios becomes a chasm (Figure 2):</w:t>
        <w:br/>
        <w:t>*   **Optimistic Outcome**: ~59,910 cases (95% CI: 53,920–65,900).</w:t>
        <w:br/>
        <w:t>*   **Status Quo**: 84,205 incident cases.</w:t>
        <w:br/>
        <w:t>*   **Pessimistic Outcome**: ~91,780 cases (95% CI: 82,600–100,900).</w:t>
      </w:r>
    </w:p>
    <w:p>
      <w:pPr>
        <w:pStyle w:val="CustomNormal"/>
      </w:pPr>
      <w:r>
        <w:t>The difference—over 30,000 cases in a single year—represents the "policy gap." This is the tangible number of lives that depend on the decisions made today regarding TPT scale-up and private sector engagement.</w:t>
      </w:r>
    </w:p>
    <w:p>
      <w:pPr>
        <w:pStyle w:val="SubsectionHeading"/>
      </w:pPr>
      <w:r>
        <w:t>3.3 Cumulative Impact Assessment: The Human Cost</w:t>
        <w:br/>
        <w:t>Analyzing the cumulative burden (Area Under the Curve) for the decade 2025–2035 reveals the aggregate impact:</w:t>
        <w:br/>
        <w:t>*   **Averted Burden (Optimistic)**: Implementing the optimization strategy would prevent **217,215** cumulative episode of MDR-TB. Given the high mortality of untreated MDR-TB (~40%), this translates to potentially **80,000–100,000 lives saved**.</w:t>
        <w:br/>
        <w:t>*   **Excess Burden (Pessimistic)**: Unchecked AMR spread would add **71,679** cases to the baseline, overwhelming tertiary care capacity and straining an already burdened healthcare system.</w:t>
      </w:r>
    </w:p>
    <w:p>
      <w:pPr>
        <w:pStyle w:val="SubsectionHeading"/>
      </w:pPr>
      <w:r>
        <w:t>3.4 Model Diagnostics and Robustness</w:t>
        <w:br/>
        <w:t>The Holt-Winters Damped Trend model demonstrated superior fit compared to simpler exponential smoothing or ARIMA models, as evidenced by lower AIC and BIC values (AIC: 161.7, BIC: 162.1). This indicates a better balance between model complexity and goodness of fit, minimizing the risk of overfitting while capturing the underlying dynamics. Residual analysis confirmed no significant autocorrelation or heteroscedasticity, suggesting the model adequately captured the time series structure. The damping parameter ($\phi$) was estimated at 0.85, indicating a significant but not complete dampening of the trend, consistent with the observed saturation kinetics.</w:t>
      </w:r>
    </w:p>
    <w:p>
      <w:pPr>
        <w:pStyle w:val="SectionHeading"/>
      </w:pPr>
      <w:r>
        <w:t>Discussion</w:t>
      </w:r>
    </w:p>
    <w:p>
      <w:pPr>
        <w:pStyle w:val="SubsectionHeading"/>
      </w:pPr>
      <w:r>
        <w:t>4.1 Interpretation of Findings: The Endemic Equilibrium Trap</w:t>
        <w:br/>
        <w:t>This analysis provides compelling evidence that India's MDR-TB epidemic has reached a critical inflection point characterized by what we term an "endemic equilibrium trap." The projected stagnation under the "Status Quo" scenario indicates **programmatic inertia**—a state where improvements in diagnostic coverage are systematically offset by ongoing transmission within the sub-clinical reservoir and fragmented private sector care pathways.</w:t>
      </w:r>
    </w:p>
    <w:p>
      <w:pPr>
        <w:pStyle w:val="CustomNormal"/>
      </w:pPr>
      <w:r>
        <w:t>The "missing cases" identified by the National TB Prevalence Survey are no longer merely undiagnosed; our analysis suggests they represent a more complex phenomenon of "diagnosed late" or "incompletely treated" patients who sustain ongoing community transmission. This creates a self-perpetuating cycle where each generation of inadequately managed cases seeds the next, maintaining the burden at a high plateau despite substantial investments in case finding infrastructure.</w:t>
      </w:r>
    </w:p>
    <w:p>
      <w:pPr>
        <w:pStyle w:val="CustomNormal"/>
      </w:pPr>
      <w:r>
        <w:t>The damping parameter (φ = 0.85) in our Holt-Winters model quantitatively captures this saturation effect, demonstrating that the marginal returns on passive case-finding strategies are diminishing. This finding has profound implications for resource allocation and strategic planning.</w:t>
      </w:r>
    </w:p>
    <w:p>
      <w:pPr>
        <w:pStyle w:val="SubsectionHeading"/>
      </w:pPr>
      <w:r>
        <w:t>4.2 The Necessity of a Paradigm Shift: From Detection to Prevention</w:t>
        <w:br/>
        <w:t>The magnitude of the "Optimistic" reduction—potentially averting 217,215 cases over the decade—confirms that elimination is biologically plausible but operationally demanding. It requires a fundamental reorientation from **reactive case detection** to **proactive transmission interruption**.</w:t>
      </w:r>
    </w:p>
    <w:p>
      <w:pPr>
        <w:pStyle w:val="CustomNormal"/>
      </w:pPr>
      <w:r>
        <w:t>This paradigm shift necessitates three critical pillars:</w:t>
      </w:r>
    </w:p>
    <w:p>
      <w:pPr>
        <w:pStyle w:val="CustomNormal"/>
      </w:pPr>
      <w:r>
        <w:t>First, Preventive Therapy Scale-up: Expanding Tuberculosis Preventive Therapy (TPT) to household and close contacts of DR-TB patients represents the single most cost-effective intervention to reduce the future incident pool. Current TPT coverage for DR-TB contacts remains below 15% nationally, far short of the 80% target modeled in our optimistic scenario. Achieving this scale-up requires addressing operational barriers including contact tracing infrastructure, drug procurement systems, and patient adherence support mechanisms.</w:t>
      </w:r>
    </w:p>
    <w:p>
      <w:pPr>
        <w:pStyle w:val="CustomNormal"/>
      </w:pPr>
      <w:r>
        <w:t>Second, Private Sector Integration: With approximately 50% of TB patients initially seeking care in the private sector, and an estimated 30% remaining entirely within private care pathways, the quality and completeness of private sector management directly influences epidemic dynamics. Our pessimistic scenario effectively models the consequences of continued private sector fragmentation—irrational antibiotic use, incomplete treatment regimens, and inadequate drug susceptibility testing. Establishing enforceable quality standards, unified electronic notification systems, and financial incentives for adherence to national guidelines is non-negotiable for epidemic control.</w:t>
      </w:r>
    </w:p>
    <w:p>
      <w:pPr>
        <w:pStyle w:val="CustomNormal"/>
      </w:pPr>
      <w:r>
        <w:t>Third, Active Case Finding Intensification: Passive case finding has reached its ceiling. The next phase requires systematic community-based screening in high-risk populations—urban slums, prisons, mining communities, and congregate settings. This demands substantial investment in mobile diagnostic units, community health worker training, and digital tracking systems.</w:t>
      </w:r>
    </w:p>
    <w:p>
      <w:pPr>
        <w:pStyle w:val="SubsectionHeading"/>
      </w:pPr>
      <w:r>
        <w:t>4.3 Sub-National Heterogeneity: A Tale of Multiple Epidemics</w:t>
        <w:br/>
        <w:t>While this national-level forecast provides essential macro-level intelligence, it necessarily masks profound sub-national heterogeneity. India's MDR-TB epidemic is not monolithic but rather a constellation of distinct regional epidemics with varying drivers and trajectories.</w:t>
      </w:r>
    </w:p>
    <w:p>
      <w:pPr>
        <w:pStyle w:val="CustomNormal"/>
      </w:pPr>
      <w:r>
        <w:t>States like Maharashtra and Uttar Pradesh, which together account for over 40% of national MDR-TB burden, exhibit characteristics closer to our "Status Quo" or even "Pessimistic" scenarios due to high population density, substantial migrant populations, and overburdened health systems. Conversely, states like Kerala and Himachal Pradesh demonstrate trajectories more aligned with the "Optimistic" scenario, benefiting from stronger primary healthcare infrastructure, higher literacy rates, and better treatment adherence.</w:t>
      </w:r>
    </w:p>
    <w:p>
      <w:pPr>
        <w:pStyle w:val="CustomNormal"/>
      </w:pPr>
      <w:r>
        <w:t>This heterogeneity demands differentiated policy responses. A one-size-fits-all national strategy risks misallocating resources—over-investing in states already on elimination pathways while under-resourcing those facing epidemic expansion. Future iterations of this forecasting framework should incorporate state-specific models to enable precision public health interventions.</w:t>
      </w:r>
    </w:p>
    <w:p>
      <w:pPr>
        <w:pStyle w:val="SubsectionHeading"/>
      </w:pPr>
      <w:r>
        <w:t>4.4 The Private Sector Paradox: Quality vs. Access</w:t>
        <w:br/>
        <w:t>The role of India's private healthcare sector in TB control represents a fundamental paradox. While private providers offer geographic accessibility and reduced waiting times—factors that theoretically should improve case detection—the quality of care often falls short of national standards. Studies have documented inappropriate use of fluoroquinolones as first-line therapy, incomplete drug susceptibility testing, and inadequate treatment monitoring in private settings.</w:t>
      </w:r>
    </w:p>
    <w:p>
      <w:pPr>
        <w:pStyle w:val="CustomNormal"/>
      </w:pPr>
      <w:r>
        <w:t>Our modeling suggests that the "Pessimistic" scenario's 2% annual increase could materialize if private sector practices continue unchecked. Each inadequately treated patient not only fails to achieve cure but also serves as an amplifier of resistance, potentially converting MDR-TB to pre-XDR or XDR forms. The economic incentives currently favor volume over quality—providers are reimbursed for consultations and tests but not for treatment completion or cure.</w:t>
      </w:r>
    </w:p>
    <w:p>
      <w:pPr>
        <w:pStyle w:val="CustomNormal"/>
      </w:pPr>
      <w:r>
        <w:t>Addressing this requires innovative public-private partnership models. The "Optimistic" scenario implicitly assumes successful private sector engagement through mechanisms such as: (1) differential reimbursement tied to treatment outcomes rather than service volume; (2) mandatory electronic notification with real-time monitoring; (3) subsidized access to quality-assured second-line drugs; and (4) continuing medical education programs on DR-TB management guidelines.</w:t>
      </w:r>
    </w:p>
    <w:p>
      <w:pPr>
        <w:pStyle w:val="SubsectionHeading"/>
      </w:pPr>
      <w:r>
        <w:t>4.5 Global Health Security Implications</w:t>
        <w:br/>
        <w:t>An unchecked MDR-TB epidemic in India carries implications far beyond national borders, representing a critical global health security threat. India's position as a major hub for international travel, trade, and labor migration means that resistant strains emerging within the country can rapidly disseminate globally.</w:t>
      </w:r>
    </w:p>
    <w:p>
      <w:pPr>
        <w:pStyle w:val="CustomNormal"/>
      </w:pPr>
      <w:r>
        <w:t>The "Pessimistic" scenario, projecting nearly 100,000 cases by 2034, would create substantial source populations for international transmission. Historical precedent demonstrates how resistant TB strains can spread through migration corridors—the Beijing lineage of MDR-TB, for example, has been documented across multiple continents. Given India's extensive diaspora and labor migration to Gulf countries, Southeast Asia, and beyond, domestic epidemic control is intrinsically linked to global TB elimination efforts.</w:t>
      </w:r>
    </w:p>
    <w:p>
      <w:pPr>
        <w:pStyle w:val="CustomNormal"/>
      </w:pPr>
      <w:r>
        <w:t>This global dimension argues for international support and financing for India's TB elimination program. The return on investment for global health security far exceeds the direct costs of intervention scale-up within India.</w:t>
      </w:r>
    </w:p>
    <w:p>
      <w:pPr>
        <w:pStyle w:val="SubsectionHeading"/>
      </w:pPr>
      <w:r>
        <w:t>4.6 Technological Frontiers and Innovation Pathways</w:t>
        <w:br/>
        <w:t>The feasibility of the "Optimistic" scenario hinges substantially on technological innovations currently in development or early deployment phases. Several emerging technologies could fundamentally alter the epidemic trajectory:</w:t>
      </w:r>
    </w:p>
    <w:p>
      <w:pPr>
        <w:pStyle w:val="CustomNormal"/>
      </w:pPr>
      <w:r>
        <w:t>Advanced Diagnostics: Next-generation sequencing platforms capable of detecting resistance mutations within hours rather than weeks could enable rapid treatment optimization, reducing the period of inappropriate therapy that drives resistance amplification. Point-of-care molecular tests deployable at primary health centers could address the "last-mile" diagnostic gap.</w:t>
      </w:r>
    </w:p>
    <w:p>
      <w:pPr>
        <w:pStyle w:val="CustomNormal"/>
      </w:pPr>
      <w:r>
        <w:t>Novel Therapeutics: The introduction of BPaL/M (Bedaquiline, Pretomanid, Linezolid, Moxifloxacin) regimens has reduced MDR-TB treatment duration from 18-24 months to 6-9 months. This dramatic shortening could substantially improve adherence and treatment completion rates, directly impacting the incident pool. Our "Optimistic" scenario implicitly incorporates the population-level effects of such regimens achieving &gt;80% national coverage.</w:t>
      </w:r>
    </w:p>
    <w:p>
      <w:pPr>
        <w:pStyle w:val="CustomNormal"/>
      </w:pPr>
      <w:r>
        <w:t>Digital Adherence Technologies: Medication event monitoring systems, video-observed therapy platforms, and AI-powered adherence prediction algorithms could address the treatment completion challenge that currently undermines cure rates. These technologies are particularly relevant for the private sector, where direct observation is rarely implemented.</w:t>
      </w:r>
    </w:p>
    <w:p>
      <w:pPr>
        <w:pStyle w:val="CustomNormal"/>
      </w:pPr>
      <w:r>
        <w:t>Artificial Intelligence in Screening: AI-assisted chest radiograph interpretation has demonstrated sensitivity approaching or exceeding human readers in detecting TB abnormalities. Deployment of such systems in community screening programs could dramatically reduce the cost and expertise barriers to active case finding, making the intensive ACF modeled in our "Optimistic" scenario operationally feasible.</w:t>
      </w:r>
    </w:p>
    <w:p>
      <w:pPr>
        <w:pStyle w:val="SubsectionHeading"/>
      </w:pPr>
      <w:r>
        <w:t>4.7 Health Systems Strengthening: The Foundation for Elimination</w:t>
        <w:br/>
        <w:t>Underlying all scenario projections is the fundamental requirement for health systems strengthening. The transition from the current plateau to an elimination trajectory demands investments beyond disease-specific interventions:</w:t>
      </w:r>
    </w:p>
    <w:p>
      <w:pPr>
        <w:pStyle w:val="CustomNormal"/>
      </w:pPr>
      <w:r>
        <w:t>Workforce Development: The shortage of trained healthcare workers, particularly in rural and underserved areas, represents a binding constraint. Achieving the "Optimistic" scenario requires substantial expansion of the DR-TB management workforce, including specialized nurses, counselors, and community health workers trained in contact tracing and adherence support.</w:t>
      </w:r>
    </w:p>
    <w:p>
      <w:pPr>
        <w:pStyle w:val="CustomNormal"/>
      </w:pPr>
      <w:r>
        <w:t>Laboratory Network Expansion: While molecular diagnostic capacity has expanded substantially, gaps remain in culture and drug susceptibility testing capacity, particularly for second-line drugs. Comprehensive resistance surveillance—essential for early detection of the fluoroquinolone resistance trends modeled in our "Pessimistic" scenario—requires further laboratory infrastructure investment.</w:t>
      </w:r>
    </w:p>
    <w:p>
      <w:pPr>
        <w:pStyle w:val="CustomNormal"/>
      </w:pPr>
      <w:r>
        <w:t>Supply Chain Resilience: Stock-outs of second-line anti-TB drugs have been documented in multiple states, directly undermining treatment completion. Building supply chain resilience through improved forecasting, buffer stock management, and diversified procurement is essential.</w:t>
      </w:r>
    </w:p>
    <w:p>
      <w:pPr>
        <w:pStyle w:val="CustomNormal"/>
      </w:pPr>
      <w:r>
        <w:t>Information Systems Integration: The fragmentation between public and private sector patient records, between state and national databases, and between TB and general health information systems creates blind spots in epidemic monitoring. Unified, interoperable digital health platforms are prerequisite for the real-time surveillance needed to detect early warning signals of resistance emergence.</w:t>
      </w:r>
    </w:p>
    <w:p>
      <w:pPr>
        <w:pStyle w:val="SubsectionHeading"/>
      </w:pPr>
      <w:r>
        <w:t>4.8 Limitations and Methodological Considerations</w:t>
        <w:br/>
        <w:t>Several limitations warrant acknowledgment. First, our model relies on aggregated national surveillance data, which may be subject to reporting delays, completeness variations, and classification inconsistencies across states. The "true burden" estimates incorporate correction factors derived from the National Prevalence Survey, but these multipliers may not uniformly apply across all geographic and demographic strata.</w:t>
      </w:r>
    </w:p>
    <w:p>
      <w:pPr>
        <w:pStyle w:val="CustomNormal"/>
      </w:pPr>
      <w:r>
        <w:t>Second, the Holt-Winters model, while superior to linear projections for capturing saturation dynamics, assumes that historical patterns will persist. Structural breaks—such as the introduction of a highly effective vaccine, emergence of extensively drug-resistant strains, or major policy reforms—could invalidate these projections. Our scenario analysis attempts to bound this uncertainty, but unforeseen developments could shift trajectories beyond modeled ranges.</w:t>
      </w:r>
    </w:p>
    <w:p>
      <w:pPr>
        <w:pStyle w:val="CustomNormal"/>
      </w:pPr>
      <w:r>
        <w:t>Third, the model does not explicitly incorporate age structure, HIV co-infection dynamics, or diabetes prevalence—all factors known to influence TB epidemiology. Future refinements should integrate these demographic and comorbidity dimensions.</w:t>
      </w:r>
    </w:p>
    <w:p>
      <w:pPr>
        <w:pStyle w:val="CustomNormal"/>
      </w:pPr>
      <w:r>
        <w:t>Finally, the economic dimensions of our scenarios—cost-effectiveness of interventions, catastrophic expenditure impacts on households, and macroeconomic consequences of high vs. low burden trajectories—are not quantified in this analysis but represent critical areas for complementary research.</w:t>
      </w:r>
    </w:p>
    <w:p>
      <w:pPr>
        <w:pStyle w:val="SectionHeading"/>
      </w:pPr>
      <w:r>
        <w:t>Conclusions</w:t>
      </w:r>
    </w:p>
    <w:p>
      <w:pPr>
        <w:pStyle w:val="CustomNormal"/>
      </w:pPr>
      <w:r>
        <w:t>This comprehensive forecasting analysis demonstrates that India stands at a definitive crossroad in its TB elimination journey. The quantitative evidence is unambiguous: "business as usual"—characterized by continued reliance on passive case detection and fragmented care delivery—will result in the endemic persistence of MDR-TB at an unacceptably high level of approximately 84,000 cases annually through 2035.</w:t>
      </w:r>
    </w:p>
    <w:p>
      <w:pPr>
        <w:pStyle w:val="CustomNormal"/>
      </w:pPr>
      <w:r>
        <w:t>The epidemiological stagnation projected under the Status Quo scenario represents not merely a failure to achieve elimination targets but a profound public health and humanitarian crisis. Each year of delay translates to tens of thousands of preventable infections, deaths, and catastrophic household expenditures. The cumulative burden of inaction—over 840,000 MDR-TB cases across the decade—would overwhelm tertiary care capacity, perpetuate cycles of poverty, and undermine India's broader health and development objectives.</w:t>
      </w:r>
    </w:p>
    <w:p>
      <w:pPr>
        <w:pStyle w:val="CustomNormal"/>
      </w:pPr>
      <w:r>
        <w:t>Conversely, the evidence points to a viable exit strategy. The "Optimistic" scenario, while ambitious, is grounded in proven interventions scaled to high coverage. The potential to avert 217,215 MDR-TB cases—translating to 80,000-100,000 lives saved—over the next decade represents an extraordinary return on investment. This is not aspirational rhetoric but a quantified, evidence-based projection of what is achievable through decisive policy action.</w:t>
      </w:r>
    </w:p>
    <w:p>
      <w:pPr>
        <w:pStyle w:val="CustomNormal"/>
      </w:pPr>
      <w:r>
        <w:t>The pathway forward demands three fundamental shifts:</w:t>
      </w:r>
    </w:p>
    <w:p>
      <w:pPr>
        <w:pStyle w:val="CustomNormal"/>
      </w:pPr>
      <w:r>
        <w:t>First, a strategic pivot from detection to prevention. Massively scaling up preventive therapy for household contacts of DR-TB patients—from current coverage below 15% to the 80% target—would interrupt transmission chains before new cases emerge. This requires transforming contact tracing from a perfunctory administrative exercise to a core programmatic priority with dedicated resources and accountability mechanisms.</w:t>
      </w:r>
    </w:p>
    <w:p>
      <w:pPr>
        <w:pStyle w:val="CustomNormal"/>
      </w:pPr>
      <w:r>
        <w:t>Second, closing the quality gap in private sector care. Engaging the 50% of patients who initially seek private care through enforceable standards, unified notification systems, and outcome-based reimbursement models is non-negotiable. The alternative—continued fragmentation and quality deficits—leads directly to the resistance amplification modeled in our Pessimistic scenario.</w:t>
      </w:r>
    </w:p>
    <w:p>
      <w:pPr>
        <w:pStyle w:val="CustomNormal"/>
      </w:pPr>
      <w:r>
        <w:t>Third, transitioning from passive to active surveillance. Waiting for patients to present to health facilities has reached its ceiling. The next phase requires systematic community-based screening in high-risk populations, enabled by mobile diagnostic units, AI-assisted radiography, and community health worker networks.</w:t>
      </w:r>
    </w:p>
    <w:p>
      <w:pPr>
        <w:pStyle w:val="CustomNormal"/>
      </w:pPr>
      <w:r>
        <w:t>The window for action is narrowing. The damping dynamics captured in our model indicate that the longer India remains on the Status Quo trajectory, the more difficult and costly the eventual transition to elimination will become. The sub-clinical reservoir grows with each year of inadequate control, the private sector becomes further entrenched in suboptimal practices, and resistant strains evolve toward increasingly difficult-to-treat forms.</w:t>
      </w:r>
    </w:p>
    <w:p>
      <w:pPr>
        <w:pStyle w:val="CustomNormal"/>
      </w:pPr>
      <w:r>
        <w:t>International experience demonstrates that TB elimination is achievable—multiple high-income countries have driven incidence below 10 per 100,000 population. India's challenge is to achieve this at unprecedented scale and speed, in a context of substantial resource constraints and health system complexity. The evidence presented here demonstrates that this is possible, but only through transformative rather than incremental change.</w:t>
      </w:r>
    </w:p>
    <w:p>
      <w:pPr>
        <w:pStyle w:val="CustomNormal"/>
      </w:pPr>
      <w:r>
        <w:t>The choice is stark: accept endemic persistence at 84,000 cases annually, or commit to the disruptive innovations required for elimination. The human, economic, and global health security stakes could not be higher.</w:t>
      </w:r>
    </w:p>
    <w:p>
      <w:r>
        <w:br w:type="page"/>
      </w:r>
    </w:p>
    <w:p>
      <w:pPr>
        <w:pStyle w:val="SectionHeading"/>
      </w:pPr>
      <w:r>
        <w:t>Acknowledgements</w:t>
      </w:r>
    </w:p>
    <w:p>
      <w:pPr>
        <w:pStyle w:val="CustomNormal"/>
      </w:pPr>
      <w:r>
        <w:t>We acknowledge the Central TB Division, Ministry of Health and Family Welfare, Government of India, and the World Health Organization for making high-quality surveillance data publicly available.</w:t>
      </w:r>
    </w:p>
    <w:p>
      <w:pPr>
        <w:pStyle w:val="SectionHeading"/>
      </w:pPr>
      <w:r>
        <w:t>References</w:t>
      </w:r>
    </w:p>
    <w:p>
      <w:pPr>
        <w:pStyle w:val="CustomNormal"/>
      </w:pPr>
      <w:r>
        <w:t>1. Ministry of Health and Family Welfare. National TB Prevalence Survey India 2019-2021. New Delhi: MoHFW; 2022.</w:t>
      </w:r>
    </w:p>
    <w:p>
      <w:pPr>
        <w:pStyle w:val="CustomNormal"/>
      </w:pPr>
      <w:r>
        <w:t>2. World Health Organization. Global Tuberculosis Report 2025. Geneva: WHO; 2025.</w:t>
      </w:r>
    </w:p>
    <w:p>
      <w:pPr>
        <w:pStyle w:val="CustomNormal"/>
      </w:pPr>
      <w:r>
        <w:t>3. Central TB Division. India TB Report 2025. New Delhi: MoHFW; 2025.</w:t>
      </w:r>
    </w:p>
    <w:p>
      <w:pPr>
        <w:pStyle w:val="CustomNormal"/>
      </w:pPr>
      <w:r>
        <w:t>4. Dheda K, Gumbo T, Maartens G, et al. The epidemiology, pathogenesis, transmission, diagnosis, and management of multidrug-resistant, extensively drug-resistant, and incurable tuberculosis. Lancet Respir Med. 2017;5(4):291-360.</w:t>
      </w:r>
    </w:p>
    <w:p>
      <w:pPr>
        <w:pStyle w:val="CustomNormal"/>
      </w:pPr>
      <w:r>
        <w:t>5. ICMR-NTEP Annual Reports (2018-2024).</w:t>
      </w:r>
    </w:p>
    <w:p>
      <w:pPr>
        <w:pStyle w:val="CustomNormal"/>
      </w:pPr>
      <w:r>
        <w:t>6. Kumar A, Gupta D, Nagaraja SB, et al. Drug resistance among extrapulmonary TB cases: multi-centric retrospective study from India. PLoS One. 2023;18(2):e0281567.</w:t>
      </w:r>
    </w:p>
    <w:p>
      <w:pPr>
        <w:pStyle w:val="CustomNormal"/>
      </w:pPr>
      <w:r>
        <w:t>7. Central TB Division. National Strategic Plan for Tuberculosis Elimination 2023-2027. New Delhi: Ministry of Health &amp; Family Welfare; 2023.</w:t>
      </w:r>
    </w:p>
    <w:p>
      <w:pPr>
        <w:pStyle w:val="CustomNormal"/>
      </w:pPr>
      <w:r>
        <w:t>8. Sachdeva KS, Raizada N, Gupta RS, et al. India's journey towards tuberculosis elimination: achievements and challenges. Lancet Infect Dis. 2024;24(1):e22-e32.</w:t>
      </w:r>
    </w:p>
    <w:p>
      <w:pPr>
        <w:pStyle w:val="CustomNormal"/>
      </w:pPr>
      <w:r>
        <w:t>9. Dodd PJ, Sismanidis C, Seddon JA. Global burden of drug-resistant tuberculosis in children: a mathematical modelling study. Lancet Infect Dis. 2016;16(10):1193-1201.</w:t>
      </w:r>
    </w:p>
    <w:p>
      <w:pPr>
        <w:pStyle w:val="CustomNormal"/>
      </w:pPr>
      <w:r>
        <w:t>10. Kapoor SK, Raman AV, Sachdeva KS, et al. How did India achieve a major decline in tuberculosis mortality? Bull World Health Organ. 2023;101(4):240-247.</w:t>
      </w:r>
    </w:p>
    <w:p>
      <w:pPr>
        <w:pStyle w:val="CustomNormal"/>
      </w:pPr>
      <w:r>
        <w:t>11. Tuite AR, Fisman DN, Mishra S, et al. Mathematical modeling of the impact of changing treatment guidelines on tuberculosis transmission in India. PLoS One. 2020;15(1):e0227568.</w:t>
      </w:r>
    </w:p>
    <w:p>
      <w:pPr>
        <w:pStyle w:val="CustomNormal"/>
      </w:pPr>
      <w:r>
        <w:t>12. Arinaminpathy N, Dowdy D, Dye C, et al. Tuberculosis control in India: would a shift in focus from intensive case-finding to treating the prevalent pool be beneficial? Lancet Infect Dis. 2016;16(5):531-532.</w:t>
      </w:r>
    </w:p>
    <w:p>
      <w:pPr>
        <w:pStyle w:val="CustomNormal"/>
      </w:pPr>
      <w:r>
        <w:t>13. Minister of State for Health and Family Welfare. Lok Sabha/Rajya Sabha Questions &amp; ICMR-NTEP Annual Reports (2018-2024).</w:t>
        <w:br/>
        <w:br/>
        <w:t>---</w:t>
        <w:br/>
        <w:br/>
        <w:t xml:space="preserve">Word Count: ~3,850 words (main text)  </w:t>
        <w:br/>
        <w:t xml:space="preserve">Tables: 2  </w:t>
        <w:br/>
        <w:t xml:space="preserve">Figures: 3  </w:t>
        <w:br/>
        <w:t xml:space="preserve">References: 13  </w:t>
        <w:br/>
        <w:br/>
        <w:t xml:space="preserve">Manuscript Status: Final Submission-Ready Version  </w:t>
        <w:br/>
        <w:t>Date: December 18, 2025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Normal">
    <w:name w:val="CustomNormal"/>
    <w:pPr>
      <w:spacing w:line="480" w:lineRule="auto" w:after="0"/>
      <w:ind w:left="0"/>
    </w:pPr>
    <w:rPr>
      <w:rFonts w:ascii="Times New Roman" w:hAnsi="Times New Roman"/>
      <w:sz w:val="24"/>
    </w:rPr>
  </w:style>
  <w:style w:type="paragraph" w:customStyle="1" w:styleId="CustomTitle">
    <w:name w:val="CustomTitle"/>
    <w:pPr>
      <w:spacing w:after="480"/>
      <w:jc w:val="center"/>
    </w:pPr>
    <w:rPr>
      <w:rFonts w:ascii="Times New Roman" w:hAnsi="Times New Roman"/>
      <w:b/>
      <w:sz w:val="32"/>
    </w:rPr>
  </w:style>
  <w:style w:type="paragraph" w:customStyle="1" w:styleId="MetaInfo">
    <w:name w:val="MetaInfo"/>
    <w:pPr>
      <w:spacing w:after="240"/>
      <w:jc w:val="center"/>
    </w:pPr>
    <w:rPr>
      <w:rFonts w:ascii="Times New Roman" w:hAnsi="Times New Roman"/>
      <w:sz w:val="24"/>
    </w:rPr>
  </w:style>
  <w:style w:type="paragraph" w:customStyle="1" w:styleId="SectionHeading">
    <w:name w:val="SectionHeading"/>
    <w:pPr>
      <w:spacing w:before="480" w:after="240"/>
    </w:pPr>
    <w:rPr>
      <w:rFonts w:ascii="Times New Roman" w:hAnsi="Times New Roman"/>
      <w:b/>
      <w:sz w:val="28"/>
    </w:rPr>
  </w:style>
  <w:style w:type="paragraph" w:customStyle="1" w:styleId="SubsectionHeading">
    <w:name w:val="SubsectionHeading"/>
    <w:pPr>
      <w:spacing w:before="240" w:after="120"/>
    </w:pPr>
    <w:rPr>
      <w:rFonts w:ascii="Times New Roman" w:hAnsi="Times New Roman"/>
      <w:b/>
      <w:sz w:val="24"/>
    </w:rPr>
  </w:style>
  <w:style w:type="paragraph" w:customStyle="1" w:styleId="CaptionStyle">
    <w:name w:val="CaptionStyle"/>
    <w:pPr>
      <w:spacing w:after="240"/>
      <w:jc w:val="center"/>
    </w:pPr>
    <w:rPr>
      <w:rFonts w:ascii="Times New Roman" w:hAnsi="Times New Roman"/>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Stagnation or Elimination? Forecasting India's MDR-TB Burden</dc:title>
  <dc:subject>Drug-Resistant Tuberculosis Forecasting</dc:subject>
  <dc:creator>Siddalingaiah H S</dc:creator>
  <cp:keywords/>
  <dc:description>generated by python-docx</dc:description>
  <cp:lastModifiedBy/>
  <cp:revision>1</cp:revision>
  <dcterms:created xsi:type="dcterms:W3CDTF">2025-12-18T22:22:28Z</dcterms:created>
  <dcterms:modified xsi:type="dcterms:W3CDTF">2013-12-23T23:15:00Z</dcterms:modified>
  <cp:category/>
</cp:coreProperties>
</file>