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Times New Roman" w:hAnsi="Times New Roman"/>
          <w:b/>
          <w:i w:val="0"/>
          <w:sz w:val="28"/>
        </w:rPr>
        <w:t>Burden of injuries in India from a public health perspective: state-level fatal-non-fatal decomposition, inequality, and surveillance-burden mismatch using GBD 2021 and official Indian secondary data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22"/>
        </w:rPr>
        <w:t>Short title: State-level injury burden in India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Siddalingaiah H S</w:t>
      </w:r>
      <w:r>
        <w:rPr>
          <w:rFonts w:ascii="Times New Roman" w:hAnsi="Times New Roman"/>
          <w:b w:val="0"/>
          <w:i w:val="0"/>
          <w:sz w:val="18"/>
          <w:vertAlign w:val="superscript"/>
        </w:rPr>
        <w:t>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18"/>
          <w:vertAlign w:val="superscript"/>
        </w:rPr>
        <w:t xml:space="preserve">1 </w:t>
      </w:r>
      <w:r>
        <w:rPr>
          <w:rFonts w:ascii="Times New Roman" w:hAnsi="Times New Roman"/>
          <w:b w:val="0"/>
          <w:i w:val="0"/>
          <w:sz w:val="22"/>
        </w:rPr>
        <w:t>Department of Community Medicine, Shridevi Institute of Medical Sciences and Research Hospital, Tumkur, Karnataka, India</w:t>
      </w:r>
    </w:p>
    <w:p>
      <w:pPr>
        <w:spacing w:before="160" w:after="120"/>
        <w:jc w:val="left"/>
      </w:pPr>
      <w:r>
        <w:rPr>
          <w:rFonts w:ascii="Times New Roman" w:hAnsi="Times New Roman"/>
          <w:b/>
          <w:i w:val="0"/>
          <w:sz w:val="22"/>
        </w:rPr>
        <w:t>Corresponding author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Siddalingaiah H S</w:t>
        <w:br/>
        <w:t>Shridevi Institute of Medical Sciences and Research Hospital, Tumkur, Karnataka, India</w:t>
        <w:br/>
        <w:t>Email: hssling@yahoo.com</w:t>
        <w:br/>
        <w:t>Phone: +91 8941087719</w:t>
        <w:br/>
        <w:t>ORCID: 0000-0002-4771-8285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Article type: Original article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Word count: Abstract ~290 words; main text ~5000 words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Tables: 4 main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Figures: 6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Supplementary tables: 4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References: 20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Funding: None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Conflicts of interest: None declared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Data and code availability: https://github.com/hssling/injury-india-public-health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2"/>
        </w:rPr>
        <w:t>Submission date: 24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