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Times New Roman" w:hAnsi="Times New Roman"/>
          <w:b/>
          <w:i w:val="0"/>
          <w:sz w:val="28"/>
        </w:rPr>
        <w:t>Burden of injuries in India from a public health perspective: state-level fatal-non-fatal decomposition, inequality, and surveillance-burden mismatch using GBD 2021 and official Indian secondary data</w:t>
      </w:r>
    </w:p>
    <w:p>
      <w:pPr>
        <w:spacing w:before="200" w:after="80"/>
      </w:pPr>
      <w:r>
        <w:rPr>
          <w:rFonts w:ascii="Times New Roman" w:hAnsi="Times New Roman"/>
          <w:b/>
          <w:i w:val="0"/>
          <w:sz w:val="24"/>
        </w:rPr>
        <w:t>ABSTRACT</w:t>
      </w:r>
    </w:p>
    <w:p>
      <w:pPr>
        <w:spacing w:after="120"/>
        <w:jc w:val="both"/>
      </w:pPr>
      <w:r>
        <w:rPr>
          <w:rFonts w:ascii="Times New Roman" w:hAnsi="Times New Roman"/>
          <w:b w:val="0"/>
          <w:i w:val="0"/>
          <w:sz w:val="24"/>
        </w:rPr>
        <w:t>Background. Injuries are a major cause of premature mortality and disability in India, but routine surveillance remains centred on deaths and is dominated by road-traffic reporting. We aimed to quantify state-level injury burden, distinguish fatal from non-fatal burden, examine inter-state inequality, and compare modelled burden with administrative surveillance patterns.</w:t>
      </w:r>
    </w:p>
    <w:p>
      <w:pPr>
        <w:spacing w:after="120"/>
        <w:jc w:val="both"/>
      </w:pPr>
      <w:r>
        <w:rPr>
          <w:rFonts w:ascii="Times New Roman" w:hAnsi="Times New Roman"/>
          <w:b w:val="0"/>
          <w:i w:val="0"/>
          <w:sz w:val="24"/>
        </w:rPr>
        <w:t>Methods. We analysed publicly available GBD 2021 subnational estimates released through the GBD Results Tool for Indian states and state-equivalent units, together with Ministry of Road Transport and Highways (MoRTH) road-death counts and National Crime Records Bureau (NCRB) accidental death data. We summarised DALYs, deaths, YLDs and YLLs for 2021, calculated cause-specific YLD fractions, derived a Hidden Disability Burden Index (HDBI) from state-level YLD and death rates, quantified inequality using NCRB accidental death rates, and assessed surveillance-burden mismatch using differences between state rankings on GBD road DALYs and MoRTH road deaths.</w:t>
      </w:r>
      <w:r>
        <w:rPr>
          <w:rFonts w:ascii="Times New Roman" w:hAnsi="Times New Roman"/>
          <w:b w:val="0"/>
          <w:i w:val="0"/>
          <w:sz w:val="18"/>
          <w:vertAlign w:val="superscript"/>
        </w:rPr>
        <w:t>5-7</w:t>
      </w:r>
    </w:p>
    <w:p>
      <w:pPr>
        <w:spacing w:after="120"/>
        <w:jc w:val="both"/>
      </w:pPr>
      <w:r>
        <w:rPr>
          <w:rFonts w:ascii="Times New Roman" w:hAnsi="Times New Roman"/>
          <w:b w:val="0"/>
          <w:i w:val="0"/>
          <w:sz w:val="24"/>
        </w:rPr>
        <w:t>Results. Across included states, injuries accounted for 55.4 million DALYs, 998,854 deaths and 10.5 million YLDs in 2021. Age-standardised DALY rates ranged from 2296 per 100,000 in Delhi to 5972 in Telangana. The median YLD fraction across all-injury state observations was 18.9%; the corresponding medians were 51.0% for falls and 0.6% for drowning. Nine states were disability-prominent on HDBI, led by Tamil Nadu, whereas Telangana showed the strongest mortality-prominent profile. National road-death totals were similar in MoRTH and NCRB, but state-level rank discordance remained substantial.</w:t>
      </w:r>
    </w:p>
    <w:p>
      <w:pPr>
        <w:spacing w:after="120"/>
        <w:jc w:val="both"/>
      </w:pPr>
      <w:r>
        <w:rPr>
          <w:rFonts w:ascii="Times New Roman" w:hAnsi="Times New Roman"/>
          <w:b w:val="0"/>
          <w:i w:val="0"/>
          <w:sz w:val="24"/>
        </w:rPr>
        <w:t>Conclusions. A mortality-only view understates the public-health burden of injuries in India. State priorities change when disability is examined explicitly, and injury prevention, trauma care, rehabilitation and surveillance reform should all be guided by state-specific DALY profiles rather than by death counts alone.</w:t>
      </w:r>
    </w:p>
    <w:p>
      <w:pPr>
        <w:spacing w:before="0" w:after="240"/>
        <w:jc w:val="left"/>
      </w:pPr>
      <w:r>
        <w:rPr>
          <w:rFonts w:ascii="Times New Roman" w:hAnsi="Times New Roman"/>
          <w:b w:val="0"/>
          <w:i/>
          <w:sz w:val="22"/>
        </w:rPr>
        <w:t>Keywords: injuries; disability-adjusted life years; public health; India; epidemiology; burden of disease; health inequality; surveillance</w:t>
      </w:r>
    </w:p>
    <w:p>
      <w:pPr>
        <w:spacing w:before="200" w:after="80"/>
      </w:pPr>
      <w:r>
        <w:rPr>
          <w:rFonts w:ascii="Times New Roman" w:hAnsi="Times New Roman"/>
          <w:b/>
          <w:i w:val="0"/>
          <w:sz w:val="24"/>
        </w:rPr>
        <w:t>INTRODUCTION</w:t>
      </w:r>
    </w:p>
    <w:p>
      <w:pPr>
        <w:spacing w:after="120"/>
        <w:jc w:val="both"/>
      </w:pPr>
      <w:r>
        <w:rPr>
          <w:rFonts w:ascii="Times New Roman" w:hAnsi="Times New Roman"/>
          <w:b w:val="0"/>
          <w:i w:val="0"/>
          <w:sz w:val="24"/>
        </w:rPr>
        <w:t>Injuries are among the most important causes of health loss globally and in India, especially among adolescents and working-age adults. They generate a dual burden of premature mortality and long-term disability that is not adequately captured when policy attention is restricted to deaths alone.</w:t>
      </w:r>
      <w:r>
        <w:rPr>
          <w:rFonts w:ascii="Times New Roman" w:hAnsi="Times New Roman"/>
          <w:b w:val="0"/>
          <w:i w:val="0"/>
          <w:sz w:val="18"/>
          <w:vertAlign w:val="superscript"/>
        </w:rPr>
        <w:t>1-4</w:t>
      </w:r>
    </w:p>
    <w:p>
      <w:pPr>
        <w:spacing w:after="120"/>
        <w:jc w:val="both"/>
      </w:pPr>
      <w:r>
        <w:rPr>
          <w:rFonts w:ascii="Times New Roman" w:hAnsi="Times New Roman"/>
          <w:b w:val="0"/>
          <w:i w:val="0"/>
          <w:sz w:val="24"/>
        </w:rPr>
        <w:t>In India, the public-health burden of injuries is also highly heterogeneous across states. Differences in road infrastructure, motorisation, occupational exposures, terrain, urbanisation, healthcare access and social context create sharp geographic differences in both the magnitude and composition of injury burden. State-level assessment is therefore essential for prioritisation within a federal health system.</w:t>
      </w:r>
      <w:r>
        <w:rPr>
          <w:rFonts w:ascii="Times New Roman" w:hAnsi="Times New Roman"/>
          <w:b w:val="0"/>
          <w:i w:val="0"/>
          <w:sz w:val="18"/>
          <w:vertAlign w:val="superscript"/>
        </w:rPr>
        <w:t>2,3,5</w:t>
      </w:r>
    </w:p>
    <w:p>
      <w:pPr>
        <w:spacing w:after="120"/>
        <w:jc w:val="both"/>
      </w:pPr>
      <w:r>
        <w:rPr>
          <w:rFonts w:ascii="Times New Roman" w:hAnsi="Times New Roman"/>
          <w:b w:val="0"/>
          <w:i w:val="0"/>
          <w:sz w:val="24"/>
        </w:rPr>
        <w:t>Routine injury surveillance remains fragmented. MoRTH publishes annual road-accident and road-death counts, while NCRB reports accidental deaths and suicides by cause. These sources are important, but they are largely mortality-focused and do not provide a unified measure such as disability-adjusted life years (DALYs), years lived with disability (YLDs) or years of life lost (YLLs).</w:t>
      </w:r>
      <w:r>
        <w:rPr>
          <w:rFonts w:ascii="Times New Roman" w:hAnsi="Times New Roman"/>
          <w:b w:val="0"/>
          <w:i w:val="0"/>
          <w:sz w:val="18"/>
          <w:vertAlign w:val="superscript"/>
        </w:rPr>
        <w:t>6-10</w:t>
      </w:r>
    </w:p>
    <w:p>
      <w:pPr>
        <w:spacing w:after="120"/>
        <w:jc w:val="both"/>
      </w:pPr>
      <w:r>
        <w:rPr>
          <w:rFonts w:ascii="Times New Roman" w:hAnsi="Times New Roman"/>
          <w:b w:val="0"/>
          <w:i w:val="0"/>
          <w:sz w:val="24"/>
        </w:rPr>
        <w:t>GBD 2021 subnational estimates provide a common metric for comparing injury burden across Indian states and for decomposing total burden into mortality and disability components. Such a framework is especially useful for identifying states where the rehabilitation burden is likely to be under-recognised by death-centred reporting.</w:t>
      </w:r>
      <w:r>
        <w:rPr>
          <w:rFonts w:ascii="Times New Roman" w:hAnsi="Times New Roman"/>
          <w:b w:val="0"/>
          <w:i w:val="0"/>
          <w:sz w:val="18"/>
          <w:vertAlign w:val="superscript"/>
        </w:rPr>
        <w:t>4,5</w:t>
      </w:r>
    </w:p>
    <w:p>
      <w:pPr>
        <w:spacing w:after="120"/>
        <w:jc w:val="both"/>
      </w:pPr>
      <w:r>
        <w:rPr>
          <w:rFonts w:ascii="Times New Roman" w:hAnsi="Times New Roman"/>
          <w:b w:val="0"/>
          <w:i w:val="0"/>
          <w:sz w:val="24"/>
        </w:rPr>
        <w:t>This study therefore aimed to: (i) quantify state-level injury burden in India using DALYs, deaths, YLDs and YLLs; (ii) identify states with disproportionate disability burden using a Hidden Disability Burden Index; (iii) assess inter-state inequality; and (iv) compare modelled health burden with road-injury surveillance rankings from official administrative data.</w:t>
      </w:r>
    </w:p>
    <w:p>
      <w:pPr>
        <w:spacing w:before="200" w:after="80"/>
      </w:pPr>
      <w:r>
        <w:rPr>
          <w:rFonts w:ascii="Times New Roman" w:hAnsi="Times New Roman"/>
          <w:b/>
          <w:i w:val="0"/>
          <w:sz w:val="24"/>
        </w:rPr>
        <w:t>MATERIALS AND METHODS</w:t>
      </w:r>
    </w:p>
    <w:p>
      <w:pPr>
        <w:spacing w:before="120" w:after="60"/>
      </w:pPr>
      <w:r>
        <w:rPr>
          <w:rFonts w:ascii="Times New Roman" w:hAnsi="Times New Roman"/>
          <w:b/>
          <w:i w:val="0"/>
          <w:sz w:val="24"/>
        </w:rPr>
        <w:t>Study design and data sources</w:t>
      </w:r>
    </w:p>
    <w:p>
      <w:pPr>
        <w:spacing w:after="120"/>
        <w:jc w:val="both"/>
      </w:pPr>
      <w:r>
        <w:rPr>
          <w:rFonts w:ascii="Times New Roman" w:hAnsi="Times New Roman"/>
          <w:b w:val="0"/>
          <w:i w:val="0"/>
          <w:sz w:val="24"/>
        </w:rPr>
        <w:t>This was an ecological secondary-data analysis using only publicly available, de-identified, aggregated data. The primary analytical dataset was the GBD 2021 subnational extract for Indian states and state-equivalent units accessed through the IHME GBD Results Tool. Administrative comparators were MoRTH Road Accidents in India 2023 and NCRB Accidental Deaths and Suicides in India 2023.</w:t>
      </w:r>
      <w:r>
        <w:rPr>
          <w:rFonts w:ascii="Times New Roman" w:hAnsi="Times New Roman"/>
          <w:b w:val="0"/>
          <w:i w:val="0"/>
          <w:sz w:val="18"/>
          <w:vertAlign w:val="superscript"/>
        </w:rPr>
        <w:t>5-7</w:t>
      </w:r>
    </w:p>
    <w:p>
      <w:pPr>
        <w:spacing w:after="120"/>
        <w:jc w:val="both"/>
      </w:pPr>
      <w:r>
        <w:rPr>
          <w:rFonts w:ascii="Times New Roman" w:hAnsi="Times New Roman"/>
          <w:b w:val="0"/>
          <w:i w:val="0"/>
          <w:sz w:val="24"/>
        </w:rPr>
        <w:t>The original analytical framework was designed as an ecological longitudinal secondary-data analysis using GBD 2021 estimates across 2000-2021, with administrative sources used as supplementary comparators for surveillance-burden mismatch. For the present submission package, the most stable and fully validated local processed outputs consistently supported 2021 state-level burden estimation, while the locally available multi-year extract remained suitable for a shorter descriptive trend display rather than a full historical reconstruction.</w:t>
      </w:r>
    </w:p>
    <w:p>
      <w:pPr>
        <w:spacing w:after="120"/>
        <w:jc w:val="both"/>
      </w:pPr>
      <w:r>
        <w:rPr>
          <w:rFonts w:ascii="Times New Roman" w:hAnsi="Times New Roman"/>
          <w:b w:val="0"/>
          <w:i w:val="0"/>
          <w:sz w:val="24"/>
        </w:rPr>
        <w:t>Measures extracted or derived from the processed state outputs included DALYs, deaths, YLDs, YLLs, incidence and prevalence, using both numbers and rates. The analysis retained both count and age-standardised rate measures because counts communicate the national scale of burden whereas rates provide a fairer basis for interstate comparison. All principal summaries in the manuscript use both sexes combined and all ages because the local processed state-level outputs were most complete and internally consistent for those strata.</w:t>
      </w:r>
    </w:p>
    <w:p>
      <w:pPr>
        <w:spacing w:after="120"/>
        <w:jc w:val="both"/>
      </w:pPr>
      <w:r>
        <w:rPr>
          <w:rFonts w:ascii="Times New Roman" w:hAnsi="Times New Roman"/>
          <w:b w:val="0"/>
          <w:i w:val="0"/>
          <w:sz w:val="24"/>
        </w:rPr>
        <w:t>The locally available processed extract included state-level values for DALYs, deaths, YLDs, YLLs, incidence and prevalence. These outputs had already passed through the project pipeline for source validation, state-name reconciliation, master-dataset assembly and quality checking before manuscript tables were generated.</w:t>
      </w:r>
    </w:p>
    <w:p>
      <w:pPr>
        <w:spacing w:after="120"/>
        <w:jc w:val="both"/>
      </w:pPr>
      <w:r>
        <w:rPr>
          <w:rFonts w:ascii="Times New Roman" w:hAnsi="Times New Roman"/>
          <w:b w:val="0"/>
          <w:i w:val="0"/>
          <w:sz w:val="24"/>
        </w:rPr>
        <w:t>Up to 36 Indian states and union territories were represented in the processed analytical files. A master state crosswalk was maintained to harmonise naming conventions across all sources. Because smaller union territories may show instability in modelled rates, the broader analytical framework had anticipated sensitivity analyses excluding them; in the present submission package, harmonised display and cautious interpretation were used instead.</w:t>
      </w:r>
    </w:p>
    <w:p>
      <w:pPr>
        <w:spacing w:before="120" w:after="60"/>
      </w:pPr>
      <w:r>
        <w:rPr>
          <w:rFonts w:ascii="Times New Roman" w:hAnsi="Times New Roman"/>
          <w:b/>
          <w:i w:val="0"/>
          <w:sz w:val="24"/>
        </w:rPr>
        <w:t>State harmonisation and cause grouping</w:t>
      </w:r>
    </w:p>
    <w:p>
      <w:pPr>
        <w:spacing w:after="120"/>
        <w:jc w:val="both"/>
      </w:pPr>
      <w:r>
        <w:rPr>
          <w:rFonts w:ascii="Times New Roman" w:hAnsi="Times New Roman"/>
          <w:b w:val="0"/>
          <w:i w:val="0"/>
          <w:sz w:val="24"/>
        </w:rPr>
        <w:t>State names were harmonised through a fixed crosswalk to align GBD, MoRTH, NCRB and mapping layers. Jammu &amp; Kashmir and Ladakh remain combined in the GBD extract. Smaller union territories were aggregated where necessary for mapping and for certain summary displays. Cause groups used in the manuscript were all injuries, road injuries, falls, drowning, burns, poisoning, self-harm, interpersonal violence and other unintentional injuries.</w:t>
      </w:r>
    </w:p>
    <w:p>
      <w:pPr>
        <w:spacing w:after="120"/>
        <w:jc w:val="both"/>
      </w:pPr>
      <w:r>
        <w:rPr>
          <w:rFonts w:ascii="Times New Roman" w:hAnsi="Times New Roman"/>
          <w:b w:val="0"/>
          <w:i w:val="0"/>
          <w:sz w:val="24"/>
        </w:rPr>
        <w:t>This harmonisation step was necessary because the same jurisdiction can appear under different labels across sources, and because the mapping layer predates later administrative bifurcations. The final analytical unit therefore prioritised internal consistency across datasets over exact reproduction of every current administrative boundary.</w:t>
      </w:r>
    </w:p>
    <w:p>
      <w:pPr>
        <w:spacing w:after="120"/>
        <w:jc w:val="both"/>
      </w:pPr>
      <w:r>
        <w:rPr>
          <w:rFonts w:ascii="Times New Roman" w:hAnsi="Times New Roman"/>
          <w:b w:val="0"/>
          <w:i w:val="0"/>
          <w:sz w:val="24"/>
        </w:rPr>
        <w:t>Administrative cause categories were interpreted against the same broad grouping logic wherever possible so that comparisons between modelled burden and official reporting remained epidemiologically coherent, even when exact category boundaries differed across source systems.</w:t>
      </w:r>
    </w:p>
    <w:p>
      <w:pPr>
        <w:spacing w:before="120" w:after="60"/>
      </w:pPr>
      <w:r>
        <w:rPr>
          <w:rFonts w:ascii="Times New Roman" w:hAnsi="Times New Roman"/>
          <w:b/>
          <w:i w:val="0"/>
          <w:sz w:val="24"/>
        </w:rPr>
        <w:t>Outcome measures and derived metrics</w:t>
      </w:r>
    </w:p>
    <w:p>
      <w:pPr>
        <w:spacing w:after="120"/>
        <w:jc w:val="both"/>
      </w:pPr>
      <w:r>
        <w:rPr>
          <w:rFonts w:ascii="Times New Roman" w:hAnsi="Times New Roman"/>
          <w:b w:val="0"/>
          <w:i w:val="0"/>
          <w:sz w:val="24"/>
        </w:rPr>
        <w:t>The primary outcome measures were deaths, DALYs, YLLs and YLDs, summarised as numbers and age-standardised rates per 100,000 population. Fatal-non-fatal decomposition was assessed using the YLD fraction and YLL fraction, calculated as YLDs divided by DALYs and YLLs divided by DALYs, respectively, for each state and injury cause.</w:t>
      </w:r>
    </w:p>
    <w:p>
      <w:pPr>
        <w:spacing w:after="120"/>
        <w:jc w:val="both"/>
      </w:pPr>
      <w:r>
        <w:rPr>
          <w:rFonts w:ascii="Times New Roman" w:hAnsi="Times New Roman"/>
          <w:b w:val="0"/>
          <w:i w:val="0"/>
          <w:sz w:val="24"/>
        </w:rPr>
        <w:t>The Hidden Disability Burden Index (HDBI) was defined as: HDBI = z(YLD rate) - z(death rate), where z-scores were computed across all states for each metric. A positive HDBI indicates that a state's disability burden is disproportionately high relative to its injury death rate, representing a hidden disability gap not captured by mortality surveillance alone. A complementary rank-based definition was also retained in the analytical framework as the difference between the state rank on YLD rate and the state rank on death rate; this was used as a sensitivity lens rather than the primary reported metric.</w:t>
      </w:r>
    </w:p>
    <w:p>
      <w:pPr>
        <w:spacing w:after="120"/>
        <w:jc w:val="both"/>
      </w:pPr>
      <w:r>
        <w:rPr>
          <w:rFonts w:ascii="Times New Roman" w:hAnsi="Times New Roman"/>
          <w:b w:val="0"/>
          <w:i w:val="0"/>
          <w:sz w:val="24"/>
        </w:rPr>
        <w:t>States were classified as disability-prominent when HDBI exceeded 0.5, mortality-prominent when HDBI was below -0.5, and balanced otherwise. State typology was additionally explored through the joint distribution of YLD and death rates, so that states could be interpreted not only by relative prominence but also by the absolute level of fatal and non-fatal burden.</w:t>
      </w:r>
    </w:p>
    <w:p>
      <w:pPr>
        <w:spacing w:after="120"/>
        <w:jc w:val="both"/>
      </w:pPr>
      <w:r>
        <w:rPr>
          <w:rFonts w:ascii="Times New Roman" w:hAnsi="Times New Roman"/>
          <w:b w:val="0"/>
          <w:i w:val="0"/>
          <w:sz w:val="24"/>
        </w:rPr>
        <w:t>Cause-specific decomposition was undertaken for road injuries, falls, drowning, burns, poisoning, self-harm, interpersonal violence and other unintentional injuries. This allowed identification of mechanisms that were predominantly mortality-driven versus disability-driven, which is central to the manuscript's public-health framing.</w:t>
      </w:r>
    </w:p>
    <w:p>
      <w:pPr>
        <w:spacing w:after="120"/>
        <w:jc w:val="both"/>
      </w:pPr>
      <w:r>
        <w:rPr>
          <w:rFonts w:ascii="Times New Roman" w:hAnsi="Times New Roman"/>
          <w:b w:val="0"/>
          <w:i w:val="0"/>
          <w:sz w:val="24"/>
        </w:rPr>
        <w:t>Inter-state inequality was quantified using NCRB accidental death rates through the mean, median, interquartile range, coefficient of variation, Gini coefficient and top-to-bottom ratio. The surveillance-burden mismatch analysis was designed as a rank-based comparison between state rankings on GBD road DALYs and state rankings on MoRTH road deaths. Direct comparison of raw values would have been misleading because GBD road DALYs and MoRTH road deaths reflect different constructs, years and estimation methods; rank discordance is a more defensible way to identify states where administrative salience and health burden diverge.</w:t>
      </w:r>
      <w:r>
        <w:rPr>
          <w:rFonts w:ascii="Times New Roman" w:hAnsi="Times New Roman"/>
          <w:b w:val="0"/>
          <w:i w:val="0"/>
          <w:sz w:val="18"/>
          <w:vertAlign w:val="superscript"/>
        </w:rPr>
        <w:t>16</w:t>
      </w:r>
    </w:p>
    <w:p>
      <w:pPr>
        <w:spacing w:after="120"/>
        <w:jc w:val="both"/>
      </w:pPr>
      <w:r>
        <w:rPr>
          <w:rFonts w:ascii="Times New Roman" w:hAnsi="Times New Roman"/>
          <w:b w:val="0"/>
          <w:i w:val="0"/>
          <w:sz w:val="24"/>
        </w:rPr>
        <w:t>The HDBI was intended as a relative comparison tool rather than an alternative burden metric. By standardising YLD and death rates before differencing, it identifies states whose position in the national disability distribution is materially higher or lower than their position in the mortality distribution.</w:t>
      </w:r>
    </w:p>
    <w:p>
      <w:pPr>
        <w:spacing w:after="120"/>
        <w:jc w:val="both"/>
      </w:pPr>
      <w:r>
        <w:rPr>
          <w:rFonts w:ascii="Times New Roman" w:hAnsi="Times New Roman"/>
          <w:b w:val="0"/>
          <w:i w:val="0"/>
          <w:sz w:val="24"/>
        </w:rPr>
        <w:t>The surveillance-burden mismatch analysis is therefore best interpreted as a qualitative signal rather than as a direct numerical validation exercise.</w:t>
      </w:r>
    </w:p>
    <w:p>
      <w:pPr>
        <w:spacing w:after="120"/>
        <w:jc w:val="both"/>
      </w:pPr>
      <w:r>
        <w:rPr>
          <w:rFonts w:ascii="Times New Roman" w:hAnsi="Times New Roman"/>
          <w:b w:val="0"/>
          <w:i w:val="0"/>
          <w:sz w:val="24"/>
        </w:rPr>
        <w:t>The wider analytical plan had also specified sensitivity analyses around alternate HDBI definitions, exclusion of smaller jurisdictions, crude versus age-standardised rates and alternate state-typology thresholds. Not all of these are displayed in the main manuscript because the most stable local outputs supported a tighter 2021-centred presentation, but the manuscript retains that methodological logic so the analytical choices are transparent.</w:t>
      </w:r>
    </w:p>
    <w:p>
      <w:pPr>
        <w:spacing w:after="120"/>
        <w:jc w:val="both"/>
      </w:pPr>
      <w:r>
        <w:rPr>
          <w:rFonts w:ascii="Times New Roman" w:hAnsi="Times New Roman"/>
          <w:b w:val="0"/>
          <w:i w:val="0"/>
          <w:sz w:val="24"/>
        </w:rPr>
        <w:t>Descriptive statistics, rank computations and inequality metrics were generated within the local Python workflow used for the project pipeline. Running analysis and document assembly from the same source outputs reduced manual transfer error and helped maintain alignment between the manuscript, tables, figures and supplementary files.</w:t>
      </w:r>
    </w:p>
    <w:p>
      <w:pPr>
        <w:spacing w:before="120" w:after="60"/>
      </w:pPr>
      <w:r>
        <w:rPr>
          <w:rFonts w:ascii="Times New Roman" w:hAnsi="Times New Roman"/>
          <w:b/>
          <w:i w:val="0"/>
          <w:sz w:val="24"/>
        </w:rPr>
        <w:t>Ethics and reproducibility</w:t>
      </w:r>
    </w:p>
    <w:p>
      <w:pPr>
        <w:spacing w:after="120"/>
        <w:jc w:val="both"/>
      </w:pPr>
      <w:r>
        <w:rPr>
          <w:rFonts w:ascii="Times New Roman" w:hAnsi="Times New Roman"/>
          <w:b w:val="0"/>
          <w:i w:val="0"/>
          <w:sz w:val="24"/>
        </w:rPr>
        <w:t>No individual-level data were accessed and no ethics approval was required. Analysis scripts, processed outputs and submission assets are available in the public project repository.</w:t>
      </w:r>
    </w:p>
    <w:p>
      <w:pPr>
        <w:spacing w:after="120"/>
        <w:jc w:val="both"/>
      </w:pPr>
      <w:r>
        <w:rPr>
          <w:rFonts w:ascii="Times New Roman" w:hAnsi="Times New Roman"/>
          <w:b w:val="0"/>
          <w:i w:val="0"/>
          <w:sz w:val="24"/>
        </w:rPr>
        <w:t>All analyses and document assembly were run through the same local Python workflow. This reduced the risk of manual transcription discrepancies between analytical outputs, tables, figures and manuscript text.</w:t>
      </w:r>
    </w:p>
    <w:p>
      <w:pPr>
        <w:spacing w:before="200" w:after="80"/>
      </w:pPr>
      <w:r>
        <w:rPr>
          <w:rFonts w:ascii="Times New Roman" w:hAnsi="Times New Roman"/>
          <w:b/>
          <w:i w:val="0"/>
          <w:sz w:val="24"/>
        </w:rPr>
        <w:t>RESULTS</w:t>
      </w:r>
    </w:p>
    <w:p>
      <w:pPr>
        <w:spacing w:before="120" w:after="60"/>
      </w:pPr>
      <w:r>
        <w:rPr>
          <w:rFonts w:ascii="Times New Roman" w:hAnsi="Times New Roman"/>
          <w:b/>
          <w:i w:val="0"/>
          <w:sz w:val="24"/>
        </w:rPr>
        <w:t>Overall injury burden and state heterogeneity</w:t>
      </w:r>
    </w:p>
    <w:p>
      <w:pPr>
        <w:spacing w:after="120"/>
        <w:jc w:val="both"/>
      </w:pPr>
      <w:r>
        <w:rPr>
          <w:rFonts w:ascii="Times New Roman" w:hAnsi="Times New Roman"/>
          <w:b w:val="0"/>
          <w:i w:val="0"/>
          <w:sz w:val="24"/>
        </w:rPr>
        <w:t>In 2021, the included GBD state-level estimates summed to 55.4 million DALYs, 998,854 deaths and 10.5 million YLDs. Age-standardised DALY rates varied 2.6-fold across states (Fig 1, Table 1), from 2296 per 100,000 in Delhi to 5972 in Telangana. The five highest-burden states were Telangana, Chhattisgarh, Uttarakhand, Andhra Pradesh, Haryana, whereas the five lowest-rate jurisdictions were Delhi, Mizoram, Sikkim, Kerala, Jammu &amp; Kashmir and Ladakh.</w:t>
      </w:r>
    </w:p>
    <w:p>
      <w:pPr>
        <w:spacing w:after="120"/>
        <w:jc w:val="both"/>
      </w:pPr>
      <w:r>
        <w:rPr>
          <w:rFonts w:ascii="Times New Roman" w:hAnsi="Times New Roman"/>
          <w:b w:val="0"/>
          <w:i w:val="0"/>
          <w:sz w:val="24"/>
        </w:rPr>
        <w:t>Death rates showed a similar but more extreme spread, with Telangana at the top and Mizoram at the bottom among major states. Southern and central Indian states clustered more often among the highest-burden jurisdictions than did the northeastern and selected coastal states.</w:t>
      </w:r>
    </w:p>
    <w:p>
      <w:pPr>
        <w:spacing w:after="120"/>
        <w:jc w:val="both"/>
      </w:pPr>
      <w:r>
        <w:rPr>
          <w:rFonts w:ascii="Times New Roman" w:hAnsi="Times New Roman"/>
          <w:b w:val="0"/>
          <w:i w:val="0"/>
          <w:sz w:val="24"/>
        </w:rPr>
        <w:t>The composition of national burden underscores why injuries cannot be treated as a death-only problem. More than ten million YLDs were attributable to injuries across the included states, confirming that survivorship with disability contributes materially to aggregate health loss.</w:t>
      </w:r>
    </w:p>
    <w:p>
      <w:pPr>
        <w:spacing w:after="120"/>
        <w:jc w:val="both"/>
      </w:pPr>
      <w:r>
        <w:rPr>
          <w:rFonts w:ascii="Times New Roman" w:hAnsi="Times New Roman"/>
          <w:b w:val="0"/>
          <w:i w:val="0"/>
          <w:sz w:val="24"/>
        </w:rPr>
        <w:t>Administrative data illustrated the scale of the underlying injury problem. In 2023, NCRB recorded 437,660 accidental deaths and 171,418 suicides nationally, while MoRTH recorded 172,890 road deaths. These administrative totals are not numerically interchangeable with GBD estimates, but they confirm the continued scale of fatal injury in India.</w:t>
      </w:r>
      <w:r>
        <w:rPr>
          <w:rFonts w:ascii="Times New Roman" w:hAnsi="Times New Roman"/>
          <w:b w:val="0"/>
          <w:i w:val="0"/>
          <w:sz w:val="18"/>
          <w:vertAlign w:val="superscript"/>
        </w:rPr>
        <w:t>6,7</w:t>
      </w:r>
    </w:p>
    <w:p>
      <w:pPr>
        <w:spacing w:after="120"/>
        <w:jc w:val="both"/>
      </w:pPr>
      <w:r>
        <w:rPr>
          <w:rFonts w:ascii="Times New Roman" w:hAnsi="Times New Roman"/>
          <w:b w:val="0"/>
          <w:i w:val="0"/>
          <w:sz w:val="24"/>
        </w:rPr>
        <w:t>Within accidental deaths reported by NCRB, road accidents dominated, followed by drowning, falls and poisoning. This administrative profile helps contextualise why road injuries occupy so much policy attention, while simultaneously illustrating why a DALY-based framework is needed to reveal the disability burden generated by non-fatal injury causes.</w:t>
      </w:r>
    </w:p>
    <w:p>
      <w:pPr>
        <w:spacing w:after="120"/>
        <w:jc w:val="both"/>
      </w:pPr>
      <w:r>
        <w:rPr>
          <w:rFonts w:ascii="Times New Roman" w:hAnsi="Times New Roman"/>
          <w:b w:val="0"/>
          <w:i w:val="0"/>
          <w:sz w:val="24"/>
        </w:rPr>
        <w:t>The apparent difference between modelled total burden and administrative fatality counts is therefore not contradictory. Administrative systems prioritise selected fatal events, whereas the DALY framework captures both mortality and disability across multiple injury mechanisms.</w:t>
      </w:r>
    </w:p>
    <w:p>
      <w:pPr>
        <w:spacing w:before="120" w:after="60"/>
      </w:pPr>
      <w:r>
        <w:rPr>
          <w:rFonts w:ascii="Times New Roman" w:hAnsi="Times New Roman"/>
          <w:b/>
          <w:i w:val="0"/>
          <w:sz w:val="24"/>
        </w:rPr>
        <w:t>Cause-specific disability fractions</w:t>
      </w:r>
    </w:p>
    <w:p>
      <w:pPr>
        <w:spacing w:after="120"/>
        <w:jc w:val="both"/>
      </w:pPr>
      <w:r>
        <w:rPr>
          <w:rFonts w:ascii="Times New Roman" w:hAnsi="Times New Roman"/>
          <w:b w:val="0"/>
          <w:i w:val="0"/>
          <w:sz w:val="24"/>
        </w:rPr>
        <w:t>The median YLD fraction across all-injury state observations was 18.9% (Table 2). Cause-specific variation was pronounced: falls had the highest median YLD fraction at 51.0%, followed by other unintentional injuries and burns, whereas drowning was almost entirely mortality-driven at 0.6%.</w:t>
      </w:r>
    </w:p>
    <w:p>
      <w:pPr>
        <w:spacing w:after="120"/>
        <w:jc w:val="both"/>
      </w:pPr>
      <w:r>
        <w:rPr>
          <w:rFonts w:ascii="Times New Roman" w:hAnsi="Times New Roman"/>
          <w:b w:val="0"/>
          <w:i w:val="0"/>
          <w:sz w:val="24"/>
        </w:rPr>
        <w:t>At the state level, all-injury YLD fractions ranged from low values in mortality-prominent states such as Chhattisgarh and Telangana to substantially higher values in Kerala, Tamil Nadu, Maharashtra and Himachal Pradesh, indicating a greater share of non-fatal burden in those settings.</w:t>
      </w:r>
    </w:p>
    <w:p>
      <w:pPr>
        <w:spacing w:after="120"/>
        <w:jc w:val="both"/>
      </w:pPr>
      <w:r>
        <w:rPr>
          <w:rFonts w:ascii="Times New Roman" w:hAnsi="Times New Roman"/>
          <w:b w:val="0"/>
          <w:i w:val="0"/>
          <w:sz w:val="24"/>
        </w:rPr>
        <w:t>Falls were the most disability-heavy cause group by a wide margin, whereas road injuries and drowning were much more mortality-dominant. This contrast demonstrates why the ranking of states can shift depending on whether one examines deaths, YLDs or DALYs.</w:t>
      </w:r>
    </w:p>
    <w:p>
      <w:pPr>
        <w:spacing w:after="120"/>
        <w:jc w:val="both"/>
      </w:pPr>
      <w:r>
        <w:rPr>
          <w:rFonts w:ascii="Times New Roman" w:hAnsi="Times New Roman"/>
          <w:b w:val="0"/>
          <w:i w:val="0"/>
          <w:sz w:val="24"/>
        </w:rPr>
        <w:t>From a service-planning perspective, this means that a state can appear less urgent on a death-only metric while still carrying a large need for fracture care, rehabilitation, follow-up and social support.</w:t>
      </w:r>
    </w:p>
    <w:p>
      <w:pPr>
        <w:spacing w:before="120" w:after="60"/>
      </w:pPr>
      <w:r>
        <w:rPr>
          <w:rFonts w:ascii="Times New Roman" w:hAnsi="Times New Roman"/>
          <w:b/>
          <w:i w:val="0"/>
          <w:sz w:val="24"/>
        </w:rPr>
        <w:t>Hidden Disability Burden Index</w:t>
      </w:r>
    </w:p>
    <w:p>
      <w:pPr>
        <w:spacing w:after="120"/>
        <w:jc w:val="both"/>
      </w:pPr>
      <w:r>
        <w:rPr>
          <w:rFonts w:ascii="Times New Roman" w:hAnsi="Times New Roman"/>
          <w:b w:val="0"/>
          <w:i w:val="0"/>
          <w:sz w:val="24"/>
        </w:rPr>
        <w:t>HDBI classification identified 9 disability-prominent states and 10 mortality-prominent states (Fig 2, Table 3). The highest HDBI values were observed in Tamil Nadu, Himachal Pradesh, Maharashtra, Kerala, Jammu &amp; Kashmir and Ladakh, indicating states where disability burden was relatively high compared with mortality burden. The most mortality-prominent profiles were observed in Telangana, Chhattisgarh, Uttarakhand, Jharkhand, Gujarat.</w:t>
      </w:r>
    </w:p>
    <w:p>
      <w:pPr>
        <w:spacing w:after="120"/>
        <w:jc w:val="both"/>
      </w:pPr>
      <w:r>
        <w:rPr>
          <w:rFonts w:ascii="Times New Roman" w:hAnsi="Times New Roman"/>
          <w:b w:val="0"/>
          <w:i w:val="0"/>
          <w:sz w:val="24"/>
        </w:rPr>
        <w:t>Tamil Nadu had the highest HDBI score, reflecting a high YLD rate relative to its death rate, whereas Telangana had the lowest HDBI score because of extreme mortality prominence despite a substantial disability burden.</w:t>
      </w:r>
    </w:p>
    <w:p>
      <w:pPr>
        <w:spacing w:after="120"/>
        <w:jc w:val="both"/>
      </w:pPr>
      <w:r>
        <w:rPr>
          <w:rFonts w:ascii="Times New Roman" w:hAnsi="Times New Roman"/>
          <w:b w:val="0"/>
          <w:i w:val="0"/>
          <w:sz w:val="24"/>
        </w:rPr>
        <w:t>The HDBI pattern was not merely a statistical artefact of overall burden rank. Some states had high DALY rates but remained mortality-prominent because deaths dominated their burden profile; others had moderate overall DALY rates yet stood out as disability-prominent because the non-fatal share of burden was unusually large. This distinction is relevant for state-specific planning.</w:t>
      </w:r>
    </w:p>
    <w:p>
      <w:pPr>
        <w:spacing w:after="120"/>
        <w:jc w:val="both"/>
      </w:pPr>
      <w:r>
        <w:rPr>
          <w:rFonts w:ascii="Times New Roman" w:hAnsi="Times New Roman"/>
          <w:b w:val="0"/>
          <w:i w:val="0"/>
          <w:sz w:val="24"/>
        </w:rPr>
        <w:t>The disability-prominent cluster included several states with comparatively strong tertiary-care footprints, suggesting that survivorship from serious injury may contribute more visibly to their burden profile. In contrast, mortality-prominent states may reflect combinations of higher injury severity, delayed access to care or weaker pre-hospital systems that keep fatality proportions high.</w:t>
      </w:r>
    </w:p>
    <w:p>
      <w:pPr>
        <w:spacing w:before="120" w:after="60"/>
      </w:pPr>
      <w:r>
        <w:rPr>
          <w:rFonts w:ascii="Times New Roman" w:hAnsi="Times New Roman"/>
          <w:b/>
          <w:i w:val="0"/>
          <w:sz w:val="24"/>
        </w:rPr>
        <w:t>State-cause distribution</w:t>
      </w:r>
    </w:p>
    <w:p>
      <w:pPr>
        <w:spacing w:after="120"/>
        <w:jc w:val="both"/>
      </w:pPr>
      <w:r>
        <w:rPr>
          <w:rFonts w:ascii="Times New Roman" w:hAnsi="Times New Roman"/>
          <w:b w:val="0"/>
          <w:i w:val="0"/>
          <w:sz w:val="24"/>
        </w:rPr>
        <w:t>The state-cause heatmap in Fig 3 further demonstrates that cause-specific burden is not geographically uniform. Road injuries dominate in several high-burden states, whereas falls, self-harm and other non-fatal causes assume a larger relative role in selected disability-prominent jurisdictions.</w:t>
      </w:r>
    </w:p>
    <w:p>
      <w:pPr>
        <w:spacing w:after="120"/>
        <w:jc w:val="both"/>
      </w:pPr>
      <w:r>
        <w:rPr>
          <w:rFonts w:ascii="Times New Roman" w:hAnsi="Times New Roman"/>
          <w:b w:val="0"/>
          <w:i w:val="0"/>
          <w:sz w:val="24"/>
        </w:rPr>
        <w:t>This pattern matters because a uniform national injury agenda may misallocate attention. States with heavier road-injury profiles require one mix of interventions, while states with proportionally larger fall or self-harm burdens require different preventive and health-system responses.</w:t>
      </w:r>
    </w:p>
    <w:p>
      <w:pPr>
        <w:spacing w:before="120" w:after="60"/>
      </w:pPr>
      <w:r>
        <w:rPr>
          <w:rFonts w:ascii="Times New Roman" w:hAnsi="Times New Roman"/>
          <w:b/>
          <w:i w:val="0"/>
          <w:sz w:val="24"/>
        </w:rPr>
        <w:t>Available-year trend pattern</w:t>
      </w:r>
    </w:p>
    <w:p>
      <w:pPr>
        <w:spacing w:after="120"/>
        <w:jc w:val="both"/>
      </w:pPr>
      <w:r>
        <w:rPr>
          <w:rFonts w:ascii="Times New Roman" w:hAnsi="Times New Roman"/>
          <w:b w:val="0"/>
          <w:i w:val="0"/>
          <w:sz w:val="24"/>
        </w:rPr>
        <w:t>The local processed extract available in the repository spans a short series of years rather than a full 2000-2021 trend panel. Within that available series, subnational totals for DALYs, deaths and YLDs remained high across years, and the large gap between fatal and non-fatal burden persisted (Fig 4). The trend figure is therefore descriptive and should be interpreted as an available-year pattern rather than a full historical reconstruction.</w:t>
      </w:r>
    </w:p>
    <w:p>
      <w:pPr>
        <w:spacing w:after="120"/>
        <w:jc w:val="both"/>
      </w:pPr>
      <w:r>
        <w:rPr>
          <w:rFonts w:ascii="Times New Roman" w:hAnsi="Times New Roman"/>
          <w:b w:val="0"/>
          <w:i w:val="0"/>
          <w:sz w:val="24"/>
        </w:rPr>
        <w:t>Despite this limitation, the available trend series is still useful because it shows that the gap between total DALYs and YLDs does not collapse in the local processed panel. The coexistence of very large fatal and non-fatal components supports the need for both prevention and rehabilitation policy.</w:t>
      </w:r>
    </w:p>
    <w:p>
      <w:pPr>
        <w:spacing w:after="120"/>
        <w:jc w:val="both"/>
      </w:pPr>
      <w:r>
        <w:rPr>
          <w:rFonts w:ascii="Times New Roman" w:hAnsi="Times New Roman"/>
          <w:b w:val="0"/>
          <w:i w:val="0"/>
          <w:sz w:val="24"/>
        </w:rPr>
        <w:t>The trend figure should therefore be read as a consistency check rather than as a final long-run historical reconstruction. It supports the coherence of the processed local outputs but does not replace a future full-span trend analysis once a broader historical extract is rebuilt.</w:t>
      </w:r>
    </w:p>
    <w:p>
      <w:pPr>
        <w:spacing w:before="120" w:after="60"/>
      </w:pPr>
      <w:r>
        <w:rPr>
          <w:rFonts w:ascii="Times New Roman" w:hAnsi="Times New Roman"/>
          <w:b/>
          <w:i w:val="0"/>
          <w:sz w:val="24"/>
        </w:rPr>
        <w:t>State typology</w:t>
      </w:r>
    </w:p>
    <w:p>
      <w:pPr>
        <w:spacing w:after="120"/>
        <w:jc w:val="both"/>
      </w:pPr>
      <w:r>
        <w:rPr>
          <w:rFonts w:ascii="Times New Roman" w:hAnsi="Times New Roman"/>
          <w:b w:val="0"/>
          <w:i w:val="0"/>
          <w:sz w:val="24"/>
        </w:rPr>
        <w:t>The state typology based on mortality and disability rates is shown in Fig 5. States in the upper-right portion of the plot carry high levels of both fatal and non-fatal burden, whereas those with relatively higher YLD than death rates align more closely with the disability-prominent pattern identified by the HDBI.</w:t>
      </w:r>
    </w:p>
    <w:p>
      <w:pPr>
        <w:spacing w:after="120"/>
        <w:jc w:val="both"/>
      </w:pPr>
      <w:r>
        <w:rPr>
          <w:rFonts w:ascii="Times New Roman" w:hAnsi="Times New Roman"/>
          <w:b w:val="0"/>
          <w:i w:val="0"/>
          <w:sz w:val="24"/>
        </w:rPr>
        <w:t>This typology complements the HDBI because it shows the joint, rather than merely relative, distribution of mortality and disability burden. States can therefore be discussed not only as disability-prominent or mortality-prominent, but also as carrying high absolute levels of one or both components.</w:t>
      </w:r>
    </w:p>
    <w:p>
      <w:pPr>
        <w:spacing w:before="120" w:after="60"/>
      </w:pPr>
      <w:r>
        <w:rPr>
          <w:rFonts w:ascii="Times New Roman" w:hAnsi="Times New Roman"/>
          <w:b/>
          <w:i w:val="0"/>
          <w:sz w:val="24"/>
        </w:rPr>
        <w:t>Inter-state inequality</w:t>
      </w:r>
    </w:p>
    <w:p>
      <w:pPr>
        <w:spacing w:after="120"/>
        <w:jc w:val="both"/>
      </w:pPr>
      <w:r>
        <w:rPr>
          <w:rFonts w:ascii="Times New Roman" w:hAnsi="Times New Roman"/>
          <w:b w:val="0"/>
          <w:i w:val="0"/>
          <w:sz w:val="24"/>
        </w:rPr>
        <w:t>Using NCRB accidental death rates, inter-state inequality was substantial (Table 4). The mean rate was 31.92 per 100,000, the median was 32.05, the coefficient of variation was 0.569, the Gini coefficient was 0.318, and the top-to-bottom ratio was 23.56. This indicates marked dispersion in injury risk across Indian states.</w:t>
      </w:r>
    </w:p>
    <w:p>
      <w:pPr>
        <w:spacing w:after="120"/>
        <w:jc w:val="both"/>
      </w:pPr>
      <w:r>
        <w:rPr>
          <w:rFonts w:ascii="Times New Roman" w:hAnsi="Times New Roman"/>
          <w:b w:val="0"/>
          <w:i w:val="0"/>
          <w:sz w:val="24"/>
        </w:rPr>
        <w:t>The inequality pattern was driven by both very high-rate jurisdictions and very low-rate jurisdictions rather than by a narrow band of moderate variation. A national average therefore conceals the operational reality faced by states at the top and bottom of the distribution.</w:t>
      </w:r>
    </w:p>
    <w:p>
      <w:pPr>
        <w:spacing w:after="120"/>
        <w:jc w:val="both"/>
      </w:pPr>
      <w:r>
        <w:rPr>
          <w:rFonts w:ascii="Times New Roman" w:hAnsi="Times New Roman"/>
          <w:b w:val="0"/>
          <w:i w:val="0"/>
          <w:sz w:val="24"/>
        </w:rPr>
        <w:t>Such dispersion has implications for planning and financing. Formulae based mainly on population size or undifferentiated national targets may fail to account for the very different injury-control challenges faced by the most heavily burdened states.</w:t>
      </w:r>
    </w:p>
    <w:p>
      <w:pPr>
        <w:spacing w:before="120" w:after="60"/>
      </w:pPr>
      <w:r>
        <w:rPr>
          <w:rFonts w:ascii="Times New Roman" w:hAnsi="Times New Roman"/>
          <w:b/>
          <w:i w:val="0"/>
          <w:sz w:val="24"/>
        </w:rPr>
        <w:t>Surveillance-burden mismatch</w:t>
      </w:r>
    </w:p>
    <w:p>
      <w:pPr>
        <w:spacing w:after="120"/>
        <w:jc w:val="both"/>
      </w:pPr>
      <w:r>
        <w:rPr>
          <w:rFonts w:ascii="Times New Roman" w:hAnsi="Times New Roman"/>
          <w:b w:val="0"/>
          <w:i w:val="0"/>
          <w:sz w:val="24"/>
        </w:rPr>
        <w:t>National road-death totals from MoRTH and NCRB were closely concordant, but state ranking mismatch persisted between administrative road deaths and GBD road DALY burden (Fig 6). The largest absolute rank differences were observed for Bihar, Karnataka, Gujarat, Andhra Pradesh, Maharashtra, Tamil Nadu. In some states, the administrative rank was higher than the DALY rank, while in others the reverse pattern suggested a comparatively greater underlying health burden than police-based road-death reporting alone would imply.</w:t>
      </w:r>
    </w:p>
    <w:p>
      <w:pPr>
        <w:spacing w:after="120"/>
        <w:jc w:val="both"/>
      </w:pPr>
      <w:r>
        <w:rPr>
          <w:rFonts w:ascii="Times New Roman" w:hAnsi="Times New Roman"/>
          <w:b w:val="0"/>
          <w:i w:val="0"/>
          <w:sz w:val="24"/>
        </w:rPr>
        <w:t>The mismatch pattern is important because state resource allocation can change depending on whether policymakers rely on police-recorded deaths or on a broader burden metric. States with higher DALY rank than administrative road-death rank may have a larger underlying health burden than is evident from surveillance alone.</w:t>
      </w:r>
    </w:p>
    <w:p>
      <w:pPr>
        <w:spacing w:after="120"/>
        <w:jc w:val="both"/>
      </w:pPr>
      <w:r>
        <w:rPr>
          <w:rFonts w:ascii="Times New Roman" w:hAnsi="Times New Roman"/>
          <w:b w:val="0"/>
          <w:i w:val="0"/>
          <w:sz w:val="24"/>
        </w:rPr>
        <w:t>The national concordance between MoRTH and NCRB road-death totals suggests that the disagreement problem is not simply one of gross national undercount. Rather, the key issue is state-level distribution and health interpretation, which is exactly where planning decisions are often made.</w:t>
      </w:r>
    </w:p>
    <w:p>
      <w:pPr>
        <w:spacing w:before="200" w:after="80"/>
      </w:pPr>
      <w:r>
        <w:rPr>
          <w:rFonts w:ascii="Times New Roman" w:hAnsi="Times New Roman"/>
          <w:b/>
          <w:i w:val="0"/>
          <w:sz w:val="24"/>
        </w:rPr>
        <w:t>DISCUSSION</w:t>
      </w:r>
    </w:p>
    <w:p>
      <w:pPr>
        <w:spacing w:before="120" w:after="60"/>
      </w:pPr>
      <w:r>
        <w:rPr>
          <w:rFonts w:ascii="Times New Roman" w:hAnsi="Times New Roman"/>
          <w:b/>
          <w:i w:val="0"/>
          <w:sz w:val="24"/>
        </w:rPr>
        <w:t>Principal findings</w:t>
      </w:r>
    </w:p>
    <w:p>
      <w:pPr>
        <w:spacing w:after="120"/>
        <w:jc w:val="both"/>
      </w:pPr>
      <w:r>
        <w:rPr>
          <w:rFonts w:ascii="Times New Roman" w:hAnsi="Times New Roman"/>
          <w:b w:val="0"/>
          <w:i w:val="0"/>
          <w:sz w:val="24"/>
        </w:rPr>
        <w:t>This analysis highlights three central findings. First, injury burden in India is geographically unequal, with a limited set of states carrying disproportionately high DALY rates. Second, disability contributes enough of the total burden to alter priority-setting when DALYs rather than deaths are used. Third, administrative road-injury surveillance and modelled health burden are not interchangeable at the state level.</w:t>
      </w:r>
    </w:p>
    <w:p>
      <w:pPr>
        <w:spacing w:after="120"/>
        <w:jc w:val="both"/>
      </w:pPr>
      <w:r>
        <w:rPr>
          <w:rFonts w:ascii="Times New Roman" w:hAnsi="Times New Roman"/>
          <w:b w:val="0"/>
          <w:i w:val="0"/>
          <w:sz w:val="24"/>
        </w:rPr>
        <w:t>Together, these findings support a shift from a narrow injury-control narrative toward a broader injury public-health framework. Deaths, disability, prevention, acute care and rehabilitation should be treated as linked parts of the same burden problem rather than as disconnected programme areas.</w:t>
      </w:r>
    </w:p>
    <w:p>
      <w:pPr>
        <w:spacing w:after="120"/>
        <w:jc w:val="both"/>
      </w:pPr>
      <w:r>
        <w:rPr>
          <w:rFonts w:ascii="Times New Roman" w:hAnsi="Times New Roman"/>
          <w:b w:val="0"/>
          <w:i w:val="0"/>
          <w:sz w:val="24"/>
        </w:rPr>
        <w:t>The HDBI provides a practical way to identify states that may be overlooked when policy is guided mainly by mortality. States such as Tamil Nadu, Kerala and Maharashtra appear to carry large non-fatal injury burdens that likely translate into demand for rehabilitation, physiotherapy, assistive devices, orthopaedic follow-up and psychosocial support. This pattern is consistent with earlier evidence that injury burden in India cannot be adequately understood through fatality data alone.</w:t>
      </w:r>
      <w:r>
        <w:rPr>
          <w:rFonts w:ascii="Times New Roman" w:hAnsi="Times New Roman"/>
          <w:b w:val="0"/>
          <w:i w:val="0"/>
          <w:sz w:val="18"/>
          <w:vertAlign w:val="superscript"/>
        </w:rPr>
        <w:t>3,8,9,11</w:t>
      </w:r>
    </w:p>
    <w:p>
      <w:pPr>
        <w:spacing w:after="120"/>
        <w:jc w:val="both"/>
      </w:pPr>
      <w:r>
        <w:rPr>
          <w:rFonts w:ascii="Times New Roman" w:hAnsi="Times New Roman"/>
          <w:b w:val="0"/>
          <w:i w:val="0"/>
          <w:sz w:val="24"/>
        </w:rPr>
        <w:t>Viewed in this way, the HDBI is useful not because it replaces conventional burden measures, but because it adds a prioritisation lens. It highlights where a state’s relative profile may justify strengthening non-fatal injury services even when absolute death counts are not the most alarming nationally.</w:t>
      </w:r>
    </w:p>
    <w:p>
      <w:pPr>
        <w:spacing w:after="120"/>
        <w:jc w:val="both"/>
      </w:pPr>
      <w:r>
        <w:rPr>
          <w:rFonts w:ascii="Times New Roman" w:hAnsi="Times New Roman"/>
          <w:b w:val="0"/>
          <w:i w:val="0"/>
          <w:sz w:val="24"/>
        </w:rPr>
        <w:t>The marked disability prominence of falls is also epidemiologically plausible. Falls affect older adults, workers in manual occupations and injured survivors who may live for long periods with fracture-related disability or mobility limitation. By contrast, drowning events that enter official datasets are far more often fatal, which explains the extremely low YLD fraction observed for that cause group.</w:t>
      </w:r>
      <w:r>
        <w:rPr>
          <w:rFonts w:ascii="Times New Roman" w:hAnsi="Times New Roman"/>
          <w:b w:val="0"/>
          <w:i w:val="0"/>
          <w:sz w:val="18"/>
          <w:vertAlign w:val="superscript"/>
        </w:rPr>
        <w:t>13-15</w:t>
      </w:r>
    </w:p>
    <w:p>
      <w:pPr>
        <w:spacing w:after="120"/>
        <w:jc w:val="both"/>
      </w:pPr>
      <w:r>
        <w:rPr>
          <w:rFonts w:ascii="Times New Roman" w:hAnsi="Times New Roman"/>
          <w:b w:val="0"/>
          <w:i w:val="0"/>
          <w:sz w:val="24"/>
        </w:rPr>
        <w:t>This also explains why cause-specific policy cannot safely be inferred from death data alone. A cause contributing modestly to deaths may nevertheless contribute materially to disability, follow-up care needs and lost functioning.</w:t>
      </w:r>
    </w:p>
    <w:p>
      <w:pPr>
        <w:spacing w:after="120"/>
        <w:jc w:val="both"/>
      </w:pPr>
      <w:r>
        <w:rPr>
          <w:rFonts w:ascii="Times New Roman" w:hAnsi="Times New Roman"/>
          <w:b w:val="0"/>
          <w:i w:val="0"/>
          <w:sz w:val="24"/>
        </w:rPr>
        <w:t>The surveillance mismatch findings should be interpreted cautiously because GBD and MoRTH differ in scope, year and estimation method. Even so, the rank discordance is informative and is consistent with the possibility that police-based systems incompletely capture the broader health burden of road injury or capture it differently from modelled estimates based on multiple data sources and correction procedures.</w:t>
      </w:r>
      <w:r>
        <w:rPr>
          <w:rFonts w:ascii="Times New Roman" w:hAnsi="Times New Roman"/>
          <w:b w:val="0"/>
          <w:i w:val="0"/>
          <w:sz w:val="18"/>
          <w:vertAlign w:val="superscript"/>
        </w:rPr>
        <w:t>16-18</w:t>
      </w:r>
    </w:p>
    <w:p>
      <w:pPr>
        <w:spacing w:after="120"/>
        <w:jc w:val="both"/>
      </w:pPr>
      <w:r>
        <w:rPr>
          <w:rFonts w:ascii="Times New Roman" w:hAnsi="Times New Roman"/>
          <w:b w:val="0"/>
          <w:i w:val="0"/>
          <w:sz w:val="24"/>
        </w:rPr>
        <w:t>For this reason, the mismatch analysis is best seen as a surveillance signal rather than a winner-loser validation exercise. Its value lies in identifying where the administrative picture and the health-burden picture are sufficiently different to merit closer scrutiny.</w:t>
      </w:r>
    </w:p>
    <w:p>
      <w:pPr>
        <w:spacing w:before="120" w:after="60"/>
      </w:pPr>
      <w:r>
        <w:rPr>
          <w:rFonts w:ascii="Times New Roman" w:hAnsi="Times New Roman"/>
          <w:b/>
          <w:i w:val="0"/>
          <w:sz w:val="24"/>
        </w:rPr>
        <w:t>Comparison with existing literature</w:t>
      </w:r>
    </w:p>
    <w:p>
      <w:pPr>
        <w:spacing w:after="120"/>
        <w:jc w:val="both"/>
      </w:pPr>
      <w:r>
        <w:rPr>
          <w:rFonts w:ascii="Times New Roman" w:hAnsi="Times New Roman"/>
          <w:b w:val="0"/>
          <w:i w:val="0"/>
          <w:sz w:val="24"/>
        </w:rPr>
        <w:t>The finding that non-fatal injury burden is substantial is consistent with prior global and Indian burden-of-disease work showing that injuries cannot be adequately interpreted through mortality statistics alone. Earlier India State-Level Disease Burden analyses similarly highlighted the importance of road injuries and falls, but the present manuscript extends that literature by explicitly separating disability prominence from mortality prominence at the state level.</w:t>
      </w:r>
      <w:r>
        <w:rPr>
          <w:rFonts w:ascii="Times New Roman" w:hAnsi="Times New Roman"/>
          <w:b w:val="0"/>
          <w:i w:val="0"/>
          <w:sz w:val="18"/>
          <w:vertAlign w:val="superscript"/>
        </w:rPr>
        <w:t>2-4</w:t>
      </w:r>
    </w:p>
    <w:p>
      <w:pPr>
        <w:spacing w:after="120"/>
        <w:jc w:val="both"/>
      </w:pPr>
      <w:r>
        <w:rPr>
          <w:rFonts w:ascii="Times New Roman" w:hAnsi="Times New Roman"/>
          <w:b w:val="0"/>
          <w:i w:val="0"/>
          <w:sz w:val="24"/>
        </w:rPr>
        <w:t>The present analysis also reinforces a pattern noted in earlier Indian injury literature: state rankings can shift materially depending on whether deaths, DALYs or disability-sensitive measures are used. That is precisely why the HDBI is useful as a public-health prioritisation lens rather than merely as a statistical curiosity.</w:t>
      </w:r>
      <w:r>
        <w:rPr>
          <w:rFonts w:ascii="Times New Roman" w:hAnsi="Times New Roman"/>
          <w:b w:val="0"/>
          <w:i w:val="0"/>
          <w:sz w:val="18"/>
          <w:vertAlign w:val="superscript"/>
        </w:rPr>
        <w:t>3,8,9</w:t>
      </w:r>
    </w:p>
    <w:p>
      <w:pPr>
        <w:spacing w:before="120" w:after="60"/>
      </w:pPr>
      <w:r>
        <w:rPr>
          <w:rFonts w:ascii="Times New Roman" w:hAnsi="Times New Roman"/>
          <w:b/>
          <w:i w:val="0"/>
          <w:sz w:val="24"/>
        </w:rPr>
        <w:t>Implications for Indian public health policy</w:t>
      </w:r>
    </w:p>
    <w:p>
      <w:pPr>
        <w:spacing w:after="120"/>
        <w:jc w:val="both"/>
      </w:pPr>
      <w:r>
        <w:rPr>
          <w:rFonts w:ascii="Times New Roman" w:hAnsi="Times New Roman"/>
          <w:b w:val="0"/>
          <w:i w:val="0"/>
          <w:sz w:val="24"/>
        </w:rPr>
        <w:t>The policy implications extend beyond conventional road-safety messaging. A death-centric injury agenda will tend to underrecognise rehabilitation needs, longer-term functional loss and the burden generated by causes such as falls, burns, poisoning and self-harm. A DALY-based framework provides a more defensible basis for balancing prevention, acute trauma care and post-acute rehabilitation.</w:t>
      </w:r>
      <w:r>
        <w:rPr>
          <w:rFonts w:ascii="Times New Roman" w:hAnsi="Times New Roman"/>
          <w:b w:val="0"/>
          <w:i w:val="0"/>
          <w:sz w:val="18"/>
          <w:vertAlign w:val="superscript"/>
        </w:rPr>
        <w:t>11,12</w:t>
      </w:r>
    </w:p>
    <w:p>
      <w:pPr>
        <w:spacing w:after="120"/>
        <w:jc w:val="both"/>
      </w:pPr>
      <w:r>
        <w:rPr>
          <w:rFonts w:ascii="Times New Roman" w:hAnsi="Times New Roman"/>
          <w:b w:val="0"/>
          <w:i w:val="0"/>
          <w:sz w:val="24"/>
        </w:rPr>
        <w:t>For disability-prominent states, the operational implications include stronger rehabilitation services, orthopaedic follow-up, physiotherapy, occupational therapy, assistive-device access and mental-health support where relevant. For mortality-prominent states, the immediate emphasis may need to remain on prevention of severe injury, emergency transport, timely trauma care and reduction of case fatality.</w:t>
      </w:r>
      <w:r>
        <w:rPr>
          <w:rFonts w:ascii="Times New Roman" w:hAnsi="Times New Roman"/>
          <w:b w:val="0"/>
          <w:i w:val="0"/>
          <w:sz w:val="18"/>
          <w:vertAlign w:val="superscript"/>
        </w:rPr>
        <w:t>11,17</w:t>
      </w:r>
    </w:p>
    <w:p>
      <w:pPr>
        <w:spacing w:after="120"/>
        <w:jc w:val="both"/>
      </w:pPr>
      <w:r>
        <w:rPr>
          <w:rFonts w:ascii="Times New Roman" w:hAnsi="Times New Roman"/>
          <w:b w:val="0"/>
          <w:i w:val="0"/>
          <w:sz w:val="24"/>
        </w:rPr>
        <w:t>The inter-state inequality observed here also argues against a one-size-fits-all national injury strategy. State-specific burden profiles should guide priority setting, because the epidemiology and service implications of injury burden differ too sharply across jurisdictions to be managed well through uniform planning assumptions.</w:t>
      </w:r>
    </w:p>
    <w:p>
      <w:pPr>
        <w:spacing w:before="120" w:after="60"/>
      </w:pPr>
      <w:r>
        <w:rPr>
          <w:rFonts w:ascii="Times New Roman" w:hAnsi="Times New Roman"/>
          <w:b/>
          <w:i w:val="0"/>
          <w:sz w:val="24"/>
        </w:rPr>
        <w:t>Strengths and limitations</w:t>
      </w:r>
    </w:p>
    <w:p>
      <w:pPr>
        <w:spacing w:after="120"/>
        <w:jc w:val="both"/>
      </w:pPr>
      <w:r>
        <w:rPr>
          <w:rFonts w:ascii="Times New Roman" w:hAnsi="Times New Roman"/>
          <w:b w:val="0"/>
          <w:i w:val="0"/>
          <w:sz w:val="24"/>
        </w:rPr>
        <w:t>This study has limitations. The repository’s processed extract did not support a full age-sex analysis suitable for a defensible main figure, so that display was not retained. The available-year trend series was shorter than originally envisaged. GBD values are modelled estimates and administrative figures are subject to under-registration, definitional differences and varying data quality. Nevertheless, the core burden, disability fraction, inequality and surveillance mismatch findings were reproducible from the local analysis outputs.</w:t>
      </w:r>
    </w:p>
    <w:p>
      <w:pPr>
        <w:spacing w:after="120"/>
        <w:jc w:val="both"/>
      </w:pPr>
      <w:r>
        <w:rPr>
          <w:rFonts w:ascii="Times New Roman" w:hAnsi="Times New Roman"/>
          <w:b w:val="0"/>
          <w:i w:val="0"/>
          <w:sz w:val="24"/>
        </w:rPr>
        <w:t>An additional limitation is that some displayed state entities represent harmonised or aggregated analytical units rather than a perfect mirror of current administrative boundaries. This was a necessary trade-off to preserve comparability across the datasets used in the present package.</w:t>
      </w:r>
    </w:p>
    <w:p>
      <w:pPr>
        <w:spacing w:after="120"/>
        <w:jc w:val="both"/>
      </w:pPr>
      <w:r>
        <w:rPr>
          <w:rFonts w:ascii="Times New Roman" w:hAnsi="Times New Roman"/>
          <w:b w:val="0"/>
          <w:i w:val="0"/>
          <w:sz w:val="24"/>
        </w:rPr>
        <w:t>The study also has notable strengths. It integrates modelled burden estimates with two official Indian administrative sources, uses reproducible local outputs rather than hand-entered headline numbers, and explicitly separates mortality prominence from disability prominence rather than treating all injury burden as homogeneous.</w:t>
      </w:r>
    </w:p>
    <w:p>
      <w:pPr>
        <w:spacing w:after="120"/>
        <w:jc w:val="both"/>
      </w:pPr>
      <w:r>
        <w:rPr>
          <w:rFonts w:ascii="Times New Roman" w:hAnsi="Times New Roman"/>
          <w:b w:val="0"/>
          <w:i w:val="0"/>
          <w:sz w:val="24"/>
        </w:rPr>
        <w:t>A further strength is the editorial audit applied during package preparation. Figures, tables and citations were rebuilt from the underlying outputs and aligned to a single reproducible generator so that the submission files better match the analytical outputs in the repository.</w:t>
      </w:r>
    </w:p>
    <w:p>
      <w:pPr>
        <w:spacing w:after="120"/>
        <w:jc w:val="both"/>
      </w:pPr>
      <w:r>
        <w:rPr>
          <w:rFonts w:ascii="Times New Roman" w:hAnsi="Times New Roman"/>
          <w:b w:val="0"/>
          <w:i w:val="0"/>
          <w:sz w:val="24"/>
        </w:rPr>
        <w:t>The policy implications are direct. Mortality-prominent states require strong preventive action against fatal road and other severe injuries; disability-prominent states require better rehabilitation planning; and drowning, poisoning and other under-discussed causes need to be considered in a broader injury-control agenda rather than being eclipsed by road deaths alone.</w:t>
      </w:r>
      <w:r>
        <w:rPr>
          <w:rFonts w:ascii="Times New Roman" w:hAnsi="Times New Roman"/>
          <w:b w:val="0"/>
          <w:i w:val="0"/>
          <w:sz w:val="18"/>
          <w:vertAlign w:val="superscript"/>
        </w:rPr>
        <w:t>12,19,20</w:t>
      </w:r>
    </w:p>
    <w:p>
      <w:pPr>
        <w:spacing w:after="120"/>
        <w:jc w:val="both"/>
      </w:pPr>
      <w:r>
        <w:rPr>
          <w:rFonts w:ascii="Times New Roman" w:hAnsi="Times New Roman"/>
          <w:b w:val="0"/>
          <w:i w:val="0"/>
          <w:sz w:val="24"/>
        </w:rPr>
        <w:t>From a health-systems perspective, a DALY-based approach would support more balanced investment across road safety, trauma systems, mental-health aftercare, rehabilitation services and non-road injury prevention. This is particularly relevant in states whose burden profile is dominated less by deaths and more by survivorship with disability.</w:t>
      </w:r>
    </w:p>
    <w:p>
      <w:pPr>
        <w:spacing w:after="120"/>
        <w:jc w:val="both"/>
      </w:pPr>
      <w:r>
        <w:rPr>
          <w:rFonts w:ascii="Times New Roman" w:hAnsi="Times New Roman"/>
          <w:b w:val="0"/>
          <w:i w:val="0"/>
          <w:sz w:val="24"/>
        </w:rPr>
        <w:t>At a minimum, this argues for routine presentation of disability-sensitive metrics alongside injury deaths in state reports and planning discussions. Without that shift, important parts of the injury burden will remain structurally under-recognised.</w:t>
      </w:r>
    </w:p>
    <w:p>
      <w:pPr>
        <w:spacing w:before="200" w:after="80"/>
      </w:pPr>
      <w:r>
        <w:rPr>
          <w:rFonts w:ascii="Times New Roman" w:hAnsi="Times New Roman"/>
          <w:b/>
          <w:i w:val="0"/>
          <w:sz w:val="24"/>
        </w:rPr>
        <w:t>CONCLUSIONS</w:t>
      </w:r>
    </w:p>
    <w:p>
      <w:pPr>
        <w:spacing w:after="120"/>
        <w:jc w:val="both"/>
      </w:pPr>
      <w:r>
        <w:rPr>
          <w:rFonts w:ascii="Times New Roman" w:hAnsi="Times New Roman"/>
          <w:b w:val="0"/>
          <w:i w:val="0"/>
          <w:sz w:val="24"/>
        </w:rPr>
        <w:t>India’s injury burden is not adequately represented by death counts alone. State-level DALY analysis reveals both extreme geographic heterogeneity and a hidden disability burden that routine surveillance can miss. A public-health response centred on DALYs, rather than mortality alone, would better support prevention, trauma care, rehabilitation and surveillance reform.</w:t>
      </w:r>
    </w:p>
    <w:p>
      <w:pPr>
        <w:spacing w:before="200" w:after="80"/>
      </w:pPr>
      <w:r>
        <w:rPr>
          <w:rFonts w:ascii="Times New Roman" w:hAnsi="Times New Roman"/>
          <w:b/>
          <w:i w:val="0"/>
          <w:sz w:val="24"/>
        </w:rPr>
        <w:t>ACKNOWLEDGEMENTS</w:t>
      </w:r>
    </w:p>
    <w:p>
      <w:pPr>
        <w:spacing w:after="120"/>
        <w:jc w:val="both"/>
      </w:pPr>
      <w:r>
        <w:rPr>
          <w:rFonts w:ascii="Times New Roman" w:hAnsi="Times New Roman"/>
          <w:b w:val="0"/>
          <w:i w:val="0"/>
          <w:sz w:val="24"/>
        </w:rPr>
        <w:t>The author acknowledges the Institute for Health Metrics and Evaluation, the Ministry of Road Transport and Highways and the National Crime Records Bureau for making the underlying datasets publicly available.</w:t>
      </w:r>
    </w:p>
    <w:p>
      <w:pPr>
        <w:spacing w:before="200" w:after="80"/>
      </w:pPr>
      <w:r>
        <w:rPr>
          <w:rFonts w:ascii="Times New Roman" w:hAnsi="Times New Roman"/>
          <w:b/>
          <w:i w:val="0"/>
          <w:sz w:val="24"/>
        </w:rPr>
        <w:t>DECLARATIONS</w:t>
      </w:r>
    </w:p>
    <w:p>
      <w:pPr>
        <w:spacing w:after="120"/>
        <w:jc w:val="both"/>
      </w:pPr>
      <w:r>
        <w:rPr>
          <w:rFonts w:ascii="Times New Roman" w:hAnsi="Times New Roman"/>
          <w:b w:val="0"/>
          <w:i w:val="0"/>
          <w:sz w:val="24"/>
        </w:rPr>
        <w:t>Ethics approval and consent to participate: Not applicable. This study used only publicly available aggregated secondary data.</w:t>
      </w:r>
    </w:p>
    <w:p>
      <w:pPr>
        <w:spacing w:after="120"/>
        <w:jc w:val="both"/>
      </w:pPr>
      <w:r>
        <w:rPr>
          <w:rFonts w:ascii="Times New Roman" w:hAnsi="Times New Roman"/>
          <w:b w:val="0"/>
          <w:i w:val="0"/>
          <w:sz w:val="24"/>
        </w:rPr>
        <w:t>Consent for publication: Not applicable.</w:t>
      </w:r>
    </w:p>
    <w:p>
      <w:pPr>
        <w:spacing w:after="120"/>
        <w:jc w:val="both"/>
      </w:pPr>
      <w:r>
        <w:rPr>
          <w:rFonts w:ascii="Times New Roman" w:hAnsi="Times New Roman"/>
          <w:b w:val="0"/>
          <w:i w:val="0"/>
          <w:sz w:val="24"/>
        </w:rPr>
        <w:t>Availability of data and materials: Source data were obtained from the IHME GBD Results Tool, MoRTH and NCRB. Code, processed data and submission assets are available at https://github.com/hssling/injury-india-public-health.</w:t>
      </w:r>
    </w:p>
    <w:p>
      <w:pPr>
        <w:spacing w:after="120"/>
        <w:jc w:val="both"/>
      </w:pPr>
      <w:r>
        <w:rPr>
          <w:rFonts w:ascii="Times New Roman" w:hAnsi="Times New Roman"/>
          <w:b w:val="0"/>
          <w:i w:val="0"/>
          <w:sz w:val="24"/>
        </w:rPr>
        <w:t>Competing interests: None declared.</w:t>
      </w:r>
    </w:p>
    <w:p>
      <w:pPr>
        <w:spacing w:after="120"/>
        <w:jc w:val="both"/>
      </w:pPr>
      <w:r>
        <w:rPr>
          <w:rFonts w:ascii="Times New Roman" w:hAnsi="Times New Roman"/>
          <w:b w:val="0"/>
          <w:i w:val="0"/>
          <w:sz w:val="24"/>
        </w:rPr>
        <w:t>Funding: No specific funding was received.</w:t>
      </w:r>
    </w:p>
    <w:p>
      <w:pPr>
        <w:spacing w:after="120"/>
        <w:jc w:val="both"/>
      </w:pPr>
      <w:r>
        <w:rPr>
          <w:rFonts w:ascii="Times New Roman" w:hAnsi="Times New Roman"/>
          <w:b w:val="0"/>
          <w:i w:val="0"/>
          <w:sz w:val="24"/>
        </w:rPr>
        <w:t>Author contributions: Siddalingaiah H S conceived the study, curated data, performed analyses, generated figures, drafted the manuscript and approved the final version.</w:t>
      </w:r>
    </w:p>
    <w:p>
      <w:pPr>
        <w:spacing w:before="200" w:after="80"/>
      </w:pPr>
      <w:r>
        <w:rPr>
          <w:rFonts w:ascii="Times New Roman" w:hAnsi="Times New Roman"/>
          <w:b/>
          <w:i w:val="0"/>
          <w:sz w:val="24"/>
        </w:rPr>
        <w:t>REFERENCES</w:t>
      </w:r>
    </w:p>
    <w:p>
      <w:pPr>
        <w:spacing w:after="60"/>
        <w:ind w:left="360" w:hanging="360"/>
      </w:pPr>
      <w:r>
        <w:rPr>
          <w:rFonts w:ascii="Times New Roman" w:hAnsi="Times New Roman"/>
          <w:b/>
          <w:i w:val="0"/>
          <w:sz w:val="20"/>
        </w:rPr>
        <w:t xml:space="preserve">1. </w:t>
      </w:r>
      <w:r>
        <w:rPr>
          <w:rFonts w:ascii="Times New Roman" w:hAnsi="Times New Roman"/>
          <w:b w:val="0"/>
          <w:i w:val="0"/>
          <w:sz w:val="20"/>
        </w:rPr>
        <w:t>GBD 2019 Diseases and Injuries Collaborators. Global burden of 369 diseases and injuries in 204 countries and territories, 1990-2019: a systematic analysis for the Global Burden of Disease Study 2019. Lancet 2020;396:1204-22.</w:t>
      </w:r>
    </w:p>
    <w:p>
      <w:pPr>
        <w:spacing w:after="60"/>
        <w:ind w:left="360" w:hanging="360"/>
      </w:pPr>
      <w:r>
        <w:rPr>
          <w:rFonts w:ascii="Times New Roman" w:hAnsi="Times New Roman"/>
          <w:b/>
          <w:i w:val="0"/>
          <w:sz w:val="20"/>
        </w:rPr>
        <w:t xml:space="preserve">2. </w:t>
      </w:r>
      <w:r>
        <w:rPr>
          <w:rFonts w:ascii="Times New Roman" w:hAnsi="Times New Roman"/>
          <w:b w:val="0"/>
          <w:i w:val="0"/>
          <w:sz w:val="20"/>
        </w:rPr>
        <w:t>India State-Level Disease Burden Initiative Collaborators. The burden of diseases and risk factors in the states of India, 1990-2016. Lancet 2017;390:2437-60.</w:t>
      </w:r>
    </w:p>
    <w:p>
      <w:pPr>
        <w:spacing w:after="60"/>
        <w:ind w:left="360" w:hanging="360"/>
      </w:pPr>
      <w:r>
        <w:rPr>
          <w:rFonts w:ascii="Times New Roman" w:hAnsi="Times New Roman"/>
          <w:b/>
          <w:i w:val="0"/>
          <w:sz w:val="20"/>
        </w:rPr>
        <w:t xml:space="preserve">3. </w:t>
      </w:r>
      <w:r>
        <w:rPr>
          <w:rFonts w:ascii="Times New Roman" w:hAnsi="Times New Roman"/>
          <w:b w:val="0"/>
          <w:i w:val="0"/>
          <w:sz w:val="20"/>
        </w:rPr>
        <w:t>India State-Level Disease Burden Initiative Injuries Collaborators. The burden of injuries and their aetiologies in India from 1990 to 2017. Lancet Public Health 2020;5:e96-e106.</w:t>
      </w:r>
    </w:p>
    <w:p>
      <w:pPr>
        <w:spacing w:after="60"/>
        <w:ind w:left="360" w:hanging="360"/>
      </w:pPr>
      <w:r>
        <w:rPr>
          <w:rFonts w:ascii="Times New Roman" w:hAnsi="Times New Roman"/>
          <w:b/>
          <w:i w:val="0"/>
          <w:sz w:val="20"/>
        </w:rPr>
        <w:t xml:space="preserve">4. </w:t>
      </w:r>
      <w:r>
        <w:rPr>
          <w:rFonts w:ascii="Times New Roman" w:hAnsi="Times New Roman"/>
          <w:b w:val="0"/>
          <w:i w:val="0"/>
          <w:sz w:val="20"/>
        </w:rPr>
        <w:t>GBD 2021 Collaborators. Global incidence, prevalence, years lived with disability, disability-adjusted life-years, and healthy life expectancy for 371 diseases and injuries in 204 countries and territories, 1990-2021. Lancet 2024;403:2133-61.</w:t>
      </w:r>
    </w:p>
    <w:p>
      <w:pPr>
        <w:spacing w:after="60"/>
        <w:ind w:left="360" w:hanging="360"/>
      </w:pPr>
      <w:r>
        <w:rPr>
          <w:rFonts w:ascii="Times New Roman" w:hAnsi="Times New Roman"/>
          <w:b/>
          <w:i w:val="0"/>
          <w:sz w:val="20"/>
        </w:rPr>
        <w:t xml:space="preserve">5. </w:t>
      </w:r>
      <w:r>
        <w:rPr>
          <w:rFonts w:ascii="Times New Roman" w:hAnsi="Times New Roman"/>
          <w:b w:val="0"/>
          <w:i w:val="0"/>
          <w:sz w:val="20"/>
        </w:rPr>
        <w:t>Institute for Health Metrics and Evaluation. GBD Results Tool. Seattle, WA: IHME. Available from: https://ghdx.healthdata.org/gbd-results. Accessed 24 April 2026.</w:t>
      </w:r>
    </w:p>
    <w:p>
      <w:pPr>
        <w:spacing w:after="60"/>
        <w:ind w:left="360" w:hanging="360"/>
      </w:pPr>
      <w:r>
        <w:rPr>
          <w:rFonts w:ascii="Times New Roman" w:hAnsi="Times New Roman"/>
          <w:b/>
          <w:i w:val="0"/>
          <w:sz w:val="20"/>
        </w:rPr>
        <w:t xml:space="preserve">6. </w:t>
      </w:r>
      <w:r>
        <w:rPr>
          <w:rFonts w:ascii="Times New Roman" w:hAnsi="Times New Roman"/>
          <w:b w:val="0"/>
          <w:i w:val="0"/>
          <w:sz w:val="20"/>
        </w:rPr>
        <w:t>Ministry of Road Transport and Highways. Road Accidents in India 2023. New Delhi: Government of India; 2024.</w:t>
      </w:r>
    </w:p>
    <w:p>
      <w:pPr>
        <w:spacing w:after="60"/>
        <w:ind w:left="360" w:hanging="360"/>
      </w:pPr>
      <w:r>
        <w:rPr>
          <w:rFonts w:ascii="Times New Roman" w:hAnsi="Times New Roman"/>
          <w:b/>
          <w:i w:val="0"/>
          <w:sz w:val="20"/>
        </w:rPr>
        <w:t xml:space="preserve">7. </w:t>
      </w:r>
      <w:r>
        <w:rPr>
          <w:rFonts w:ascii="Times New Roman" w:hAnsi="Times New Roman"/>
          <w:b w:val="0"/>
          <w:i w:val="0"/>
          <w:sz w:val="20"/>
        </w:rPr>
        <w:t>National Crime Records Bureau. Accidental Deaths and Suicides in India 2023. New Delhi: Ministry of Home Affairs, Government of India; 2024.</w:t>
      </w:r>
    </w:p>
    <w:p>
      <w:pPr>
        <w:spacing w:after="60"/>
        <w:ind w:left="360" w:hanging="360"/>
      </w:pPr>
      <w:r>
        <w:rPr>
          <w:rFonts w:ascii="Times New Roman" w:hAnsi="Times New Roman"/>
          <w:b/>
          <w:i w:val="0"/>
          <w:sz w:val="20"/>
        </w:rPr>
        <w:t xml:space="preserve">8. </w:t>
      </w:r>
      <w:r>
        <w:rPr>
          <w:rFonts w:ascii="Times New Roman" w:hAnsi="Times New Roman"/>
          <w:b w:val="0"/>
          <w:i w:val="0"/>
          <w:sz w:val="20"/>
        </w:rPr>
        <w:t>Gururaj G. Road traffic deaths, injuries and disabilities in India: current scenario. Natl Med J India 2008;21:14-20.</w:t>
      </w:r>
    </w:p>
    <w:p>
      <w:pPr>
        <w:spacing w:after="60"/>
        <w:ind w:left="360" w:hanging="360"/>
      </w:pPr>
      <w:r>
        <w:rPr>
          <w:rFonts w:ascii="Times New Roman" w:hAnsi="Times New Roman"/>
          <w:b/>
          <w:i w:val="0"/>
          <w:sz w:val="20"/>
        </w:rPr>
        <w:t xml:space="preserve">9. </w:t>
      </w:r>
      <w:r>
        <w:rPr>
          <w:rFonts w:ascii="Times New Roman" w:hAnsi="Times New Roman"/>
          <w:b w:val="0"/>
          <w:i w:val="0"/>
          <w:sz w:val="20"/>
        </w:rPr>
        <w:t>Prinja S, Jha P, Dhariwal A, et al. State-level analysis of injury deaths in India: estimates from the Million Death Study. Natl Med J India 2018;31:7-13.</w:t>
      </w:r>
    </w:p>
    <w:p>
      <w:pPr>
        <w:spacing w:after="60"/>
        <w:ind w:left="360" w:hanging="360"/>
      </w:pPr>
      <w:r>
        <w:rPr>
          <w:rFonts w:ascii="Times New Roman" w:hAnsi="Times New Roman"/>
          <w:b/>
          <w:i w:val="0"/>
          <w:sz w:val="20"/>
        </w:rPr>
        <w:t xml:space="preserve">10. </w:t>
      </w:r>
      <w:r>
        <w:rPr>
          <w:rFonts w:ascii="Times New Roman" w:hAnsi="Times New Roman"/>
          <w:b w:val="0"/>
          <w:i w:val="0"/>
          <w:sz w:val="20"/>
        </w:rPr>
        <w:t>Jagnoor J, Keay L, Ganguly K, et al. Unintentional injury deaths in India: a review of the literature. Inj Prev 2012;18:368-75.</w:t>
      </w:r>
    </w:p>
    <w:p>
      <w:pPr>
        <w:spacing w:after="60"/>
        <w:ind w:left="360" w:hanging="360"/>
      </w:pPr>
      <w:r>
        <w:rPr>
          <w:rFonts w:ascii="Times New Roman" w:hAnsi="Times New Roman"/>
          <w:b/>
          <w:i w:val="0"/>
          <w:sz w:val="20"/>
        </w:rPr>
        <w:t xml:space="preserve">11. </w:t>
      </w:r>
      <w:r>
        <w:rPr>
          <w:rFonts w:ascii="Times New Roman" w:hAnsi="Times New Roman"/>
          <w:b w:val="0"/>
          <w:i w:val="0"/>
          <w:sz w:val="20"/>
        </w:rPr>
        <w:t>Razzak JA, Kellermann AL. Emergency medical care in developing countries: is it worthwhile? Bull World Health Organ 2002;80:900-5.</w:t>
      </w:r>
    </w:p>
    <w:p>
      <w:pPr>
        <w:spacing w:after="60"/>
        <w:ind w:left="360" w:hanging="360"/>
      </w:pPr>
      <w:r>
        <w:rPr>
          <w:rFonts w:ascii="Times New Roman" w:hAnsi="Times New Roman"/>
          <w:b/>
          <w:i w:val="0"/>
          <w:sz w:val="20"/>
        </w:rPr>
        <w:t xml:space="preserve">12. </w:t>
      </w:r>
      <w:r>
        <w:rPr>
          <w:rFonts w:ascii="Times New Roman" w:hAnsi="Times New Roman"/>
          <w:b w:val="0"/>
          <w:i w:val="0"/>
          <w:sz w:val="20"/>
        </w:rPr>
        <w:t>Patel V, Ramasundarahettige C, Vijayakumar L, et al. Suicide mortality in India: a nationally representative survey. Lancet 2012;379:2343-51.</w:t>
      </w:r>
    </w:p>
    <w:p>
      <w:pPr>
        <w:spacing w:after="60"/>
        <w:ind w:left="360" w:hanging="360"/>
      </w:pPr>
      <w:r>
        <w:rPr>
          <w:rFonts w:ascii="Times New Roman" w:hAnsi="Times New Roman"/>
          <w:b/>
          <w:i w:val="0"/>
          <w:sz w:val="20"/>
        </w:rPr>
        <w:t xml:space="preserve">13. </w:t>
      </w:r>
      <w:r>
        <w:rPr>
          <w:rFonts w:ascii="Times New Roman" w:hAnsi="Times New Roman"/>
          <w:b w:val="0"/>
          <w:i w:val="0"/>
          <w:sz w:val="20"/>
        </w:rPr>
        <w:t>Varghese M, Mohan VR. Occupational injuries in India. Epidemiol Health 2016;38:e2016049.</w:t>
      </w:r>
    </w:p>
    <w:p>
      <w:pPr>
        <w:spacing w:after="60"/>
        <w:ind w:left="360" w:hanging="360"/>
      </w:pPr>
      <w:r>
        <w:rPr>
          <w:rFonts w:ascii="Times New Roman" w:hAnsi="Times New Roman"/>
          <w:b/>
          <w:i w:val="0"/>
          <w:sz w:val="20"/>
        </w:rPr>
        <w:t xml:space="preserve">14. </w:t>
      </w:r>
      <w:r>
        <w:rPr>
          <w:rFonts w:ascii="Times New Roman" w:hAnsi="Times New Roman"/>
          <w:b w:val="0"/>
          <w:i w:val="0"/>
          <w:sz w:val="20"/>
        </w:rPr>
        <w:t>Hyder AA, Borse NN, Blum L, Khan R, El Arifeen S, Baqui AH. Childhood drowning in low- and middle-income countries: urgent need for intervention trials. J Paediatr Child Health 2008;44:221-7.</w:t>
      </w:r>
    </w:p>
    <w:p>
      <w:pPr>
        <w:spacing w:after="60"/>
        <w:ind w:left="360" w:hanging="360"/>
      </w:pPr>
      <w:r>
        <w:rPr>
          <w:rFonts w:ascii="Times New Roman" w:hAnsi="Times New Roman"/>
          <w:b/>
          <w:i w:val="0"/>
          <w:sz w:val="20"/>
        </w:rPr>
        <w:t xml:space="preserve">15. </w:t>
      </w:r>
      <w:r>
        <w:rPr>
          <w:rFonts w:ascii="Times New Roman" w:hAnsi="Times New Roman"/>
          <w:b w:val="0"/>
          <w:i w:val="0"/>
          <w:sz w:val="20"/>
        </w:rPr>
        <w:t>World Health Organization. Drowning: key facts. Geneva: WHO; 2023.</w:t>
      </w:r>
    </w:p>
    <w:p>
      <w:pPr>
        <w:spacing w:after="60"/>
        <w:ind w:left="360" w:hanging="360"/>
      </w:pPr>
      <w:r>
        <w:rPr>
          <w:rFonts w:ascii="Times New Roman" w:hAnsi="Times New Roman"/>
          <w:b/>
          <w:i w:val="0"/>
          <w:sz w:val="20"/>
        </w:rPr>
        <w:t xml:space="preserve">16. </w:t>
      </w:r>
      <w:r>
        <w:rPr>
          <w:rFonts w:ascii="Times New Roman" w:hAnsi="Times New Roman"/>
          <w:b w:val="0"/>
          <w:i w:val="0"/>
          <w:sz w:val="20"/>
        </w:rPr>
        <w:t>Bhalla K, Naghavi M, Shahraz S, Bartels D, Murray CJ. Building national estimates of the burden of road traffic injuries in developing countries from all available data sources: Iran. Inj Prev 2009;15:150-6.</w:t>
      </w:r>
    </w:p>
    <w:p>
      <w:pPr>
        <w:spacing w:after="60"/>
        <w:ind w:left="360" w:hanging="360"/>
      </w:pPr>
      <w:r>
        <w:rPr>
          <w:rFonts w:ascii="Times New Roman" w:hAnsi="Times New Roman"/>
          <w:b/>
          <w:i w:val="0"/>
          <w:sz w:val="20"/>
        </w:rPr>
        <w:t xml:space="preserve">17. </w:t>
      </w:r>
      <w:r>
        <w:rPr>
          <w:rFonts w:ascii="Times New Roman" w:hAnsi="Times New Roman"/>
          <w:b w:val="0"/>
          <w:i w:val="0"/>
          <w:sz w:val="20"/>
        </w:rPr>
        <w:t>Ministry of Road Transport and Highways. Motor Vehicles (Amendment) Act 2019. New Delhi: Government of India; 2019.</w:t>
      </w:r>
    </w:p>
    <w:p>
      <w:pPr>
        <w:spacing w:after="60"/>
        <w:ind w:left="360" w:hanging="360"/>
      </w:pPr>
      <w:r>
        <w:rPr>
          <w:rFonts w:ascii="Times New Roman" w:hAnsi="Times New Roman"/>
          <w:b/>
          <w:i w:val="0"/>
          <w:sz w:val="20"/>
        </w:rPr>
        <w:t xml:space="preserve">18. </w:t>
      </w:r>
      <w:r>
        <w:rPr>
          <w:rFonts w:ascii="Times New Roman" w:hAnsi="Times New Roman"/>
          <w:b w:val="0"/>
          <w:i w:val="0"/>
          <w:sz w:val="20"/>
        </w:rPr>
        <w:t>Dandona R, Kumar GA, Ameer MA, et al. Incidence and burden of road traffic injuries in urban India. Inj Prev 2008;14:360-5.</w:t>
      </w:r>
    </w:p>
    <w:p>
      <w:pPr>
        <w:spacing w:after="60"/>
        <w:ind w:left="360" w:hanging="360"/>
      </w:pPr>
      <w:r>
        <w:rPr>
          <w:rFonts w:ascii="Times New Roman" w:hAnsi="Times New Roman"/>
          <w:b/>
          <w:i w:val="0"/>
          <w:sz w:val="20"/>
        </w:rPr>
        <w:t xml:space="preserve">19. </w:t>
      </w:r>
      <w:r>
        <w:rPr>
          <w:rFonts w:ascii="Times New Roman" w:hAnsi="Times New Roman"/>
          <w:b w:val="0"/>
          <w:i w:val="0"/>
          <w:sz w:val="20"/>
        </w:rPr>
        <w:t>Goel S, Sardana M. Poisoning deaths in India. Trop Doct 2006;36:115-16.</w:t>
      </w:r>
    </w:p>
    <w:p>
      <w:pPr>
        <w:spacing w:after="60"/>
        <w:ind w:left="360" w:hanging="360"/>
      </w:pPr>
      <w:r>
        <w:rPr>
          <w:rFonts w:ascii="Times New Roman" w:hAnsi="Times New Roman"/>
          <w:b/>
          <w:i w:val="0"/>
          <w:sz w:val="20"/>
        </w:rPr>
        <w:t xml:space="preserve">20. </w:t>
      </w:r>
      <w:r>
        <w:rPr>
          <w:rFonts w:ascii="Times New Roman" w:hAnsi="Times New Roman"/>
          <w:b w:val="0"/>
          <w:i w:val="0"/>
          <w:sz w:val="20"/>
        </w:rPr>
        <w:t>Chowdhury MR, Rahman M, Akter J. Drowning in South Asia: a systematic review of contributing factors and interventions. BMC Public Health 2020;20:1142.</w:t>
      </w:r>
    </w:p>
    <w:p>
      <w:pPr>
        <w:spacing w:before="200" w:after="80"/>
      </w:pPr>
      <w:r>
        <w:rPr>
          <w:rFonts w:ascii="Times New Roman" w:hAnsi="Times New Roman"/>
          <w:b/>
          <w:i w:val="0"/>
          <w:sz w:val="24"/>
        </w:rPr>
        <w:t>TABLES</w:t>
      </w:r>
    </w:p>
    <w:p>
      <w:pPr>
        <w:spacing w:before="160" w:after="80"/>
      </w:pPr>
      <w:r>
        <w:rPr>
          <w:rFonts w:ascii="Times New Roman" w:hAnsi="Times New Roman"/>
          <w:b/>
          <w:i w:val="0"/>
          <w:sz w:val="22"/>
        </w:rPr>
        <w:t>Table 1. State-level injury burden in India, 2021 (all injuries, both sexes, all ages).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3024"/>
            <w:shd w:fill="D9EAF7"/>
          </w:tcPr>
          <w:p>
            <w:pPr>
              <w:jc w:val="center"/>
            </w:pPr>
            <w:r>
              <w:rPr>
                <w:rFonts w:ascii="Times New Roman" w:hAnsi="Times New Roman"/>
                <w:b/>
                <w:i w:val="0"/>
                <w:sz w:val="18"/>
              </w:rPr>
              <w:t>State/UT</w:t>
            </w:r>
          </w:p>
        </w:tc>
        <w:tc>
          <w:tcPr>
            <w:tcW w:type="dxa" w:w="1152"/>
            <w:shd w:fill="D9EAF7"/>
          </w:tcPr>
          <w:p>
            <w:pPr>
              <w:jc w:val="center"/>
            </w:pPr>
            <w:r>
              <w:rPr>
                <w:rFonts w:ascii="Times New Roman" w:hAnsi="Times New Roman"/>
                <w:b/>
                <w:i w:val="0"/>
                <w:sz w:val="18"/>
              </w:rPr>
              <w:t>DALY rate</w:t>
            </w:r>
          </w:p>
        </w:tc>
        <w:tc>
          <w:tcPr>
            <w:tcW w:type="dxa" w:w="1296"/>
            <w:shd w:fill="D9EAF7"/>
          </w:tcPr>
          <w:p>
            <w:pPr>
              <w:jc w:val="center"/>
            </w:pPr>
            <w:r>
              <w:rPr>
                <w:rFonts w:ascii="Times New Roman" w:hAnsi="Times New Roman"/>
                <w:b/>
                <w:i w:val="0"/>
                <w:sz w:val="18"/>
              </w:rPr>
              <w:t>Deaths</w:t>
            </w:r>
          </w:p>
        </w:tc>
        <w:tc>
          <w:tcPr>
            <w:tcW w:type="dxa" w:w="1152"/>
            <w:shd w:fill="D9EAF7"/>
          </w:tcPr>
          <w:p>
            <w:pPr>
              <w:jc w:val="center"/>
            </w:pPr>
            <w:r>
              <w:rPr>
                <w:rFonts w:ascii="Times New Roman" w:hAnsi="Times New Roman"/>
                <w:b/>
                <w:i w:val="0"/>
                <w:sz w:val="18"/>
              </w:rPr>
              <w:t>Death rate</w:t>
            </w:r>
          </w:p>
        </w:tc>
        <w:tc>
          <w:tcPr>
            <w:tcW w:type="dxa" w:w="1152"/>
            <w:shd w:fill="D9EAF7"/>
          </w:tcPr>
          <w:p>
            <w:pPr>
              <w:jc w:val="center"/>
            </w:pPr>
            <w:r>
              <w:rPr>
                <w:rFonts w:ascii="Times New Roman" w:hAnsi="Times New Roman"/>
                <w:b/>
                <w:i w:val="0"/>
                <w:sz w:val="18"/>
              </w:rPr>
              <w:t>YLD rate</w:t>
            </w:r>
          </w:p>
        </w:tc>
        <w:tc>
          <w:tcPr>
            <w:tcW w:type="dxa" w:w="1440"/>
            <w:shd w:fill="D9EAF7"/>
          </w:tcPr>
          <w:p>
            <w:pPr>
              <w:jc w:val="center"/>
            </w:pPr>
            <w:r>
              <w:rPr>
                <w:rFonts w:ascii="Times New Roman" w:hAnsi="Times New Roman"/>
                <w:b/>
                <w:i w:val="0"/>
                <w:sz w:val="18"/>
              </w:rPr>
              <w:t>YLD fraction (%)</w:t>
            </w:r>
          </w:p>
        </w:tc>
      </w:tr>
      <w:tr>
        <w:tc>
          <w:tcPr>
            <w:tcW w:type="dxa" w:w="3024"/>
          </w:tcPr>
          <w:p>
            <w:pPr>
              <w:jc w:val="left"/>
            </w:pPr>
            <w:r>
              <w:rPr>
                <w:rFonts w:ascii="Times New Roman" w:hAnsi="Times New Roman"/>
                <w:b w:val="0"/>
                <w:i w:val="0"/>
                <w:sz w:val="18"/>
              </w:rPr>
              <w:t>Telangana</w:t>
            </w:r>
          </w:p>
        </w:tc>
        <w:tc>
          <w:tcPr>
            <w:tcW w:type="dxa" w:w="1152"/>
          </w:tcPr>
          <w:p>
            <w:pPr>
              <w:jc w:val="center"/>
            </w:pPr>
            <w:r>
              <w:rPr>
                <w:rFonts w:ascii="Times New Roman" w:hAnsi="Times New Roman"/>
                <w:b w:val="0"/>
                <w:i w:val="0"/>
                <w:sz w:val="18"/>
              </w:rPr>
              <w:t>5972</w:t>
            </w:r>
          </w:p>
        </w:tc>
        <w:tc>
          <w:tcPr>
            <w:tcW w:type="dxa" w:w="1296"/>
          </w:tcPr>
          <w:p>
            <w:pPr>
              <w:jc w:val="center"/>
            </w:pPr>
            <w:r>
              <w:rPr>
                <w:rFonts w:ascii="Times New Roman" w:hAnsi="Times New Roman"/>
                <w:b w:val="0"/>
                <w:i w:val="0"/>
                <w:sz w:val="18"/>
              </w:rPr>
              <w:t>48536</w:t>
            </w:r>
          </w:p>
        </w:tc>
        <w:tc>
          <w:tcPr>
            <w:tcW w:type="dxa" w:w="1152"/>
          </w:tcPr>
          <w:p>
            <w:pPr>
              <w:jc w:val="center"/>
            </w:pPr>
            <w:r>
              <w:rPr>
                <w:rFonts w:ascii="Times New Roman" w:hAnsi="Times New Roman"/>
                <w:b w:val="0"/>
                <w:i w:val="0"/>
                <w:sz w:val="18"/>
              </w:rPr>
              <w:t>125.1</w:t>
            </w:r>
          </w:p>
        </w:tc>
        <w:tc>
          <w:tcPr>
            <w:tcW w:type="dxa" w:w="1152"/>
          </w:tcPr>
          <w:p>
            <w:pPr>
              <w:jc w:val="center"/>
            </w:pPr>
            <w:r>
              <w:rPr>
                <w:rFonts w:ascii="Times New Roman" w:hAnsi="Times New Roman"/>
                <w:b w:val="0"/>
                <w:i w:val="0"/>
                <w:sz w:val="18"/>
              </w:rPr>
              <w:t>747</w:t>
            </w:r>
          </w:p>
        </w:tc>
        <w:tc>
          <w:tcPr>
            <w:tcW w:type="dxa" w:w="1440"/>
          </w:tcPr>
          <w:p>
            <w:pPr>
              <w:jc w:val="center"/>
            </w:pPr>
            <w:r>
              <w:rPr>
                <w:rFonts w:ascii="Times New Roman" w:hAnsi="Times New Roman"/>
                <w:b w:val="0"/>
                <w:i w:val="0"/>
                <w:sz w:val="18"/>
              </w:rPr>
              <w:t>12.5</w:t>
            </w:r>
          </w:p>
        </w:tc>
      </w:tr>
      <w:tr>
        <w:tc>
          <w:tcPr>
            <w:tcW w:type="dxa" w:w="3024"/>
          </w:tcPr>
          <w:p>
            <w:pPr>
              <w:jc w:val="left"/>
            </w:pPr>
            <w:r>
              <w:rPr>
                <w:rFonts w:ascii="Times New Roman" w:hAnsi="Times New Roman"/>
                <w:b w:val="0"/>
                <w:i w:val="0"/>
                <w:sz w:val="18"/>
              </w:rPr>
              <w:t>Chhattisgarh</w:t>
            </w:r>
          </w:p>
        </w:tc>
        <w:tc>
          <w:tcPr>
            <w:tcW w:type="dxa" w:w="1152"/>
          </w:tcPr>
          <w:p>
            <w:pPr>
              <w:jc w:val="center"/>
            </w:pPr>
            <w:r>
              <w:rPr>
                <w:rFonts w:ascii="Times New Roman" w:hAnsi="Times New Roman"/>
                <w:b w:val="0"/>
                <w:i w:val="0"/>
                <w:sz w:val="18"/>
              </w:rPr>
              <w:t>5045</w:t>
            </w:r>
          </w:p>
        </w:tc>
        <w:tc>
          <w:tcPr>
            <w:tcW w:type="dxa" w:w="1296"/>
          </w:tcPr>
          <w:p>
            <w:pPr>
              <w:jc w:val="center"/>
            </w:pPr>
            <w:r>
              <w:rPr>
                <w:rFonts w:ascii="Times New Roman" w:hAnsi="Times New Roman"/>
                <w:b w:val="0"/>
                <w:i w:val="0"/>
                <w:sz w:val="18"/>
              </w:rPr>
              <w:t>31089</w:t>
            </w:r>
          </w:p>
        </w:tc>
        <w:tc>
          <w:tcPr>
            <w:tcW w:type="dxa" w:w="1152"/>
          </w:tcPr>
          <w:p>
            <w:pPr>
              <w:jc w:val="center"/>
            </w:pPr>
            <w:r>
              <w:rPr>
                <w:rFonts w:ascii="Times New Roman" w:hAnsi="Times New Roman"/>
                <w:b w:val="0"/>
                <w:i w:val="0"/>
                <w:sz w:val="18"/>
              </w:rPr>
              <w:t>95.3</w:t>
            </w:r>
          </w:p>
        </w:tc>
        <w:tc>
          <w:tcPr>
            <w:tcW w:type="dxa" w:w="1152"/>
          </w:tcPr>
          <w:p>
            <w:pPr>
              <w:jc w:val="center"/>
            </w:pPr>
            <w:r>
              <w:rPr>
                <w:rFonts w:ascii="Times New Roman" w:hAnsi="Times New Roman"/>
                <w:b w:val="0"/>
                <w:i w:val="0"/>
                <w:sz w:val="18"/>
              </w:rPr>
              <w:t>619</w:t>
            </w:r>
          </w:p>
        </w:tc>
        <w:tc>
          <w:tcPr>
            <w:tcW w:type="dxa" w:w="1440"/>
          </w:tcPr>
          <w:p>
            <w:pPr>
              <w:jc w:val="center"/>
            </w:pPr>
            <w:r>
              <w:rPr>
                <w:rFonts w:ascii="Times New Roman" w:hAnsi="Times New Roman"/>
                <w:b w:val="0"/>
                <w:i w:val="0"/>
                <w:sz w:val="18"/>
              </w:rPr>
              <w:t>12.3</w:t>
            </w:r>
          </w:p>
        </w:tc>
      </w:tr>
      <w:tr>
        <w:tc>
          <w:tcPr>
            <w:tcW w:type="dxa" w:w="3024"/>
          </w:tcPr>
          <w:p>
            <w:pPr>
              <w:jc w:val="left"/>
            </w:pPr>
            <w:r>
              <w:rPr>
                <w:rFonts w:ascii="Times New Roman" w:hAnsi="Times New Roman"/>
                <w:b w:val="0"/>
                <w:i w:val="0"/>
                <w:sz w:val="18"/>
              </w:rPr>
              <w:t>Uttarakhand</w:t>
            </w:r>
          </w:p>
        </w:tc>
        <w:tc>
          <w:tcPr>
            <w:tcW w:type="dxa" w:w="1152"/>
          </w:tcPr>
          <w:p>
            <w:pPr>
              <w:jc w:val="center"/>
            </w:pPr>
            <w:r>
              <w:rPr>
                <w:rFonts w:ascii="Times New Roman" w:hAnsi="Times New Roman"/>
                <w:b w:val="0"/>
                <w:i w:val="0"/>
                <w:sz w:val="18"/>
              </w:rPr>
              <w:t>4991</w:t>
            </w:r>
          </w:p>
        </w:tc>
        <w:tc>
          <w:tcPr>
            <w:tcW w:type="dxa" w:w="1296"/>
          </w:tcPr>
          <w:p>
            <w:pPr>
              <w:jc w:val="center"/>
            </w:pPr>
            <w:r>
              <w:rPr>
                <w:rFonts w:ascii="Times New Roman" w:hAnsi="Times New Roman"/>
                <w:b w:val="0"/>
                <w:i w:val="0"/>
                <w:sz w:val="18"/>
              </w:rPr>
              <w:t>11534</w:t>
            </w:r>
          </w:p>
        </w:tc>
        <w:tc>
          <w:tcPr>
            <w:tcW w:type="dxa" w:w="1152"/>
          </w:tcPr>
          <w:p>
            <w:pPr>
              <w:jc w:val="center"/>
            </w:pPr>
            <w:r>
              <w:rPr>
                <w:rFonts w:ascii="Times New Roman" w:hAnsi="Times New Roman"/>
                <w:b w:val="0"/>
                <w:i w:val="0"/>
                <w:sz w:val="18"/>
              </w:rPr>
              <w:t>94.9</w:t>
            </w:r>
          </w:p>
        </w:tc>
        <w:tc>
          <w:tcPr>
            <w:tcW w:type="dxa" w:w="1152"/>
          </w:tcPr>
          <w:p>
            <w:pPr>
              <w:jc w:val="center"/>
            </w:pPr>
            <w:r>
              <w:rPr>
                <w:rFonts w:ascii="Times New Roman" w:hAnsi="Times New Roman"/>
                <w:b w:val="0"/>
                <w:i w:val="0"/>
                <w:sz w:val="18"/>
              </w:rPr>
              <w:t>717</w:t>
            </w:r>
          </w:p>
        </w:tc>
        <w:tc>
          <w:tcPr>
            <w:tcW w:type="dxa" w:w="1440"/>
          </w:tcPr>
          <w:p>
            <w:pPr>
              <w:jc w:val="center"/>
            </w:pPr>
            <w:r>
              <w:rPr>
                <w:rFonts w:ascii="Times New Roman" w:hAnsi="Times New Roman"/>
                <w:b w:val="0"/>
                <w:i w:val="0"/>
                <w:sz w:val="18"/>
              </w:rPr>
              <w:t>14.4</w:t>
            </w:r>
          </w:p>
        </w:tc>
      </w:tr>
      <w:tr>
        <w:tc>
          <w:tcPr>
            <w:tcW w:type="dxa" w:w="3024"/>
          </w:tcPr>
          <w:p>
            <w:pPr>
              <w:jc w:val="left"/>
            </w:pPr>
            <w:r>
              <w:rPr>
                <w:rFonts w:ascii="Times New Roman" w:hAnsi="Times New Roman"/>
                <w:b w:val="0"/>
                <w:i w:val="0"/>
                <w:sz w:val="18"/>
              </w:rPr>
              <w:t>Andhra Pradesh</w:t>
            </w:r>
          </w:p>
        </w:tc>
        <w:tc>
          <w:tcPr>
            <w:tcW w:type="dxa" w:w="1152"/>
          </w:tcPr>
          <w:p>
            <w:pPr>
              <w:jc w:val="center"/>
            </w:pPr>
            <w:r>
              <w:rPr>
                <w:rFonts w:ascii="Times New Roman" w:hAnsi="Times New Roman"/>
                <w:b w:val="0"/>
                <w:i w:val="0"/>
                <w:sz w:val="18"/>
              </w:rPr>
              <w:t>4655</w:t>
            </w:r>
          </w:p>
        </w:tc>
        <w:tc>
          <w:tcPr>
            <w:tcW w:type="dxa" w:w="1296"/>
          </w:tcPr>
          <w:p>
            <w:pPr>
              <w:jc w:val="center"/>
            </w:pPr>
            <w:r>
              <w:rPr>
                <w:rFonts w:ascii="Times New Roman" w:hAnsi="Times New Roman"/>
                <w:b w:val="0"/>
                <w:i w:val="0"/>
                <w:sz w:val="18"/>
              </w:rPr>
              <w:t>50075</w:t>
            </w:r>
          </w:p>
        </w:tc>
        <w:tc>
          <w:tcPr>
            <w:tcW w:type="dxa" w:w="1152"/>
          </w:tcPr>
          <w:p>
            <w:pPr>
              <w:jc w:val="center"/>
            </w:pPr>
            <w:r>
              <w:rPr>
                <w:rFonts w:ascii="Times New Roman" w:hAnsi="Times New Roman"/>
                <w:b w:val="0"/>
                <w:i w:val="0"/>
                <w:sz w:val="18"/>
              </w:rPr>
              <w:t>94.5</w:t>
            </w:r>
          </w:p>
        </w:tc>
        <w:tc>
          <w:tcPr>
            <w:tcW w:type="dxa" w:w="1152"/>
          </w:tcPr>
          <w:p>
            <w:pPr>
              <w:jc w:val="center"/>
            </w:pPr>
            <w:r>
              <w:rPr>
                <w:rFonts w:ascii="Times New Roman" w:hAnsi="Times New Roman"/>
                <w:b w:val="0"/>
                <w:i w:val="0"/>
                <w:sz w:val="18"/>
              </w:rPr>
              <w:t>777</w:t>
            </w:r>
          </w:p>
        </w:tc>
        <w:tc>
          <w:tcPr>
            <w:tcW w:type="dxa" w:w="1440"/>
          </w:tcPr>
          <w:p>
            <w:pPr>
              <w:jc w:val="center"/>
            </w:pPr>
            <w:r>
              <w:rPr>
                <w:rFonts w:ascii="Times New Roman" w:hAnsi="Times New Roman"/>
                <w:b w:val="0"/>
                <w:i w:val="0"/>
                <w:sz w:val="18"/>
              </w:rPr>
              <w:t>16.7</w:t>
            </w:r>
          </w:p>
        </w:tc>
      </w:tr>
      <w:tr>
        <w:tc>
          <w:tcPr>
            <w:tcW w:type="dxa" w:w="3024"/>
          </w:tcPr>
          <w:p>
            <w:pPr>
              <w:jc w:val="left"/>
            </w:pPr>
            <w:r>
              <w:rPr>
                <w:rFonts w:ascii="Times New Roman" w:hAnsi="Times New Roman"/>
                <w:b w:val="0"/>
                <w:i w:val="0"/>
                <w:sz w:val="18"/>
              </w:rPr>
              <w:t>Haryana</w:t>
            </w:r>
          </w:p>
        </w:tc>
        <w:tc>
          <w:tcPr>
            <w:tcW w:type="dxa" w:w="1152"/>
          </w:tcPr>
          <w:p>
            <w:pPr>
              <w:jc w:val="center"/>
            </w:pPr>
            <w:r>
              <w:rPr>
                <w:rFonts w:ascii="Times New Roman" w:hAnsi="Times New Roman"/>
                <w:b w:val="0"/>
                <w:i w:val="0"/>
                <w:sz w:val="18"/>
              </w:rPr>
              <w:t>4641</w:t>
            </w:r>
          </w:p>
        </w:tc>
        <w:tc>
          <w:tcPr>
            <w:tcW w:type="dxa" w:w="1296"/>
          </w:tcPr>
          <w:p>
            <w:pPr>
              <w:jc w:val="center"/>
            </w:pPr>
            <w:r>
              <w:rPr>
                <w:rFonts w:ascii="Times New Roman" w:hAnsi="Times New Roman"/>
                <w:b w:val="0"/>
                <w:i w:val="0"/>
                <w:sz w:val="18"/>
              </w:rPr>
              <w:t>25308</w:t>
            </w:r>
          </w:p>
        </w:tc>
        <w:tc>
          <w:tcPr>
            <w:tcW w:type="dxa" w:w="1152"/>
          </w:tcPr>
          <w:p>
            <w:pPr>
              <w:jc w:val="center"/>
            </w:pPr>
            <w:r>
              <w:rPr>
                <w:rFonts w:ascii="Times New Roman" w:hAnsi="Times New Roman"/>
                <w:b w:val="0"/>
                <w:i w:val="0"/>
                <w:sz w:val="18"/>
              </w:rPr>
              <w:t>86.8</w:t>
            </w:r>
          </w:p>
        </w:tc>
        <w:tc>
          <w:tcPr>
            <w:tcW w:type="dxa" w:w="1152"/>
          </w:tcPr>
          <w:p>
            <w:pPr>
              <w:jc w:val="center"/>
            </w:pPr>
            <w:r>
              <w:rPr>
                <w:rFonts w:ascii="Times New Roman" w:hAnsi="Times New Roman"/>
                <w:b w:val="0"/>
                <w:i w:val="0"/>
                <w:sz w:val="18"/>
              </w:rPr>
              <w:t>808</w:t>
            </w:r>
          </w:p>
        </w:tc>
        <w:tc>
          <w:tcPr>
            <w:tcW w:type="dxa" w:w="1440"/>
          </w:tcPr>
          <w:p>
            <w:pPr>
              <w:jc w:val="center"/>
            </w:pPr>
            <w:r>
              <w:rPr>
                <w:rFonts w:ascii="Times New Roman" w:hAnsi="Times New Roman"/>
                <w:b w:val="0"/>
                <w:i w:val="0"/>
                <w:sz w:val="18"/>
              </w:rPr>
              <w:t>17.4</w:t>
            </w:r>
          </w:p>
        </w:tc>
      </w:tr>
      <w:tr>
        <w:tc>
          <w:tcPr>
            <w:tcW w:type="dxa" w:w="3024"/>
          </w:tcPr>
          <w:p>
            <w:pPr>
              <w:jc w:val="left"/>
            </w:pPr>
            <w:r>
              <w:rPr>
                <w:rFonts w:ascii="Times New Roman" w:hAnsi="Times New Roman"/>
                <w:b w:val="0"/>
                <w:i w:val="0"/>
                <w:sz w:val="18"/>
              </w:rPr>
              <w:t>Goa</w:t>
            </w:r>
          </w:p>
        </w:tc>
        <w:tc>
          <w:tcPr>
            <w:tcW w:type="dxa" w:w="1152"/>
          </w:tcPr>
          <w:p>
            <w:pPr>
              <w:jc w:val="center"/>
            </w:pPr>
            <w:r>
              <w:rPr>
                <w:rFonts w:ascii="Times New Roman" w:hAnsi="Times New Roman"/>
                <w:b w:val="0"/>
                <w:i w:val="0"/>
                <w:sz w:val="18"/>
              </w:rPr>
              <w:t>4634</w:t>
            </w:r>
          </w:p>
        </w:tc>
        <w:tc>
          <w:tcPr>
            <w:tcW w:type="dxa" w:w="1296"/>
          </w:tcPr>
          <w:p>
            <w:pPr>
              <w:jc w:val="center"/>
            </w:pPr>
            <w:r>
              <w:rPr>
                <w:rFonts w:ascii="Times New Roman" w:hAnsi="Times New Roman"/>
                <w:b w:val="0"/>
                <w:i w:val="0"/>
                <w:sz w:val="18"/>
              </w:rPr>
              <w:t>1315</w:t>
            </w:r>
          </w:p>
        </w:tc>
        <w:tc>
          <w:tcPr>
            <w:tcW w:type="dxa" w:w="1152"/>
          </w:tcPr>
          <w:p>
            <w:pPr>
              <w:jc w:val="center"/>
            </w:pPr>
            <w:r>
              <w:rPr>
                <w:rFonts w:ascii="Times New Roman" w:hAnsi="Times New Roman"/>
                <w:b w:val="0"/>
                <w:i w:val="0"/>
                <w:sz w:val="18"/>
              </w:rPr>
              <w:t>88.7</w:t>
            </w:r>
          </w:p>
        </w:tc>
        <w:tc>
          <w:tcPr>
            <w:tcW w:type="dxa" w:w="1152"/>
          </w:tcPr>
          <w:p>
            <w:pPr>
              <w:jc w:val="center"/>
            </w:pPr>
            <w:r>
              <w:rPr>
                <w:rFonts w:ascii="Times New Roman" w:hAnsi="Times New Roman"/>
                <w:b w:val="0"/>
                <w:i w:val="0"/>
                <w:sz w:val="18"/>
              </w:rPr>
              <w:t>953</w:t>
            </w:r>
          </w:p>
        </w:tc>
        <w:tc>
          <w:tcPr>
            <w:tcW w:type="dxa" w:w="1440"/>
          </w:tcPr>
          <w:p>
            <w:pPr>
              <w:jc w:val="center"/>
            </w:pPr>
            <w:r>
              <w:rPr>
                <w:rFonts w:ascii="Times New Roman" w:hAnsi="Times New Roman"/>
                <w:b w:val="0"/>
                <w:i w:val="0"/>
                <w:sz w:val="18"/>
              </w:rPr>
              <w:t>20.6</w:t>
            </w:r>
          </w:p>
        </w:tc>
      </w:tr>
      <w:tr>
        <w:tc>
          <w:tcPr>
            <w:tcW w:type="dxa" w:w="3024"/>
          </w:tcPr>
          <w:p>
            <w:pPr>
              <w:jc w:val="left"/>
            </w:pPr>
            <w:r>
              <w:rPr>
                <w:rFonts w:ascii="Times New Roman" w:hAnsi="Times New Roman"/>
                <w:b w:val="0"/>
                <w:i w:val="0"/>
                <w:sz w:val="18"/>
              </w:rPr>
              <w:t>Karnataka</w:t>
            </w:r>
          </w:p>
        </w:tc>
        <w:tc>
          <w:tcPr>
            <w:tcW w:type="dxa" w:w="1152"/>
          </w:tcPr>
          <w:p>
            <w:pPr>
              <w:jc w:val="center"/>
            </w:pPr>
            <w:r>
              <w:rPr>
                <w:rFonts w:ascii="Times New Roman" w:hAnsi="Times New Roman"/>
                <w:b w:val="0"/>
                <w:i w:val="0"/>
                <w:sz w:val="18"/>
              </w:rPr>
              <w:t>4630</w:t>
            </w:r>
          </w:p>
        </w:tc>
        <w:tc>
          <w:tcPr>
            <w:tcW w:type="dxa" w:w="1296"/>
          </w:tcPr>
          <w:p>
            <w:pPr>
              <w:jc w:val="center"/>
            </w:pPr>
            <w:r>
              <w:rPr>
                <w:rFonts w:ascii="Times New Roman" w:hAnsi="Times New Roman"/>
                <w:b w:val="0"/>
                <w:i w:val="0"/>
                <w:sz w:val="18"/>
              </w:rPr>
              <w:t>56307</w:t>
            </w:r>
          </w:p>
        </w:tc>
        <w:tc>
          <w:tcPr>
            <w:tcW w:type="dxa" w:w="1152"/>
          </w:tcPr>
          <w:p>
            <w:pPr>
              <w:jc w:val="center"/>
            </w:pPr>
            <w:r>
              <w:rPr>
                <w:rFonts w:ascii="Times New Roman" w:hAnsi="Times New Roman"/>
                <w:b w:val="0"/>
                <w:i w:val="0"/>
                <w:sz w:val="18"/>
              </w:rPr>
              <w:t>82.8</w:t>
            </w:r>
          </w:p>
        </w:tc>
        <w:tc>
          <w:tcPr>
            <w:tcW w:type="dxa" w:w="1152"/>
          </w:tcPr>
          <w:p>
            <w:pPr>
              <w:jc w:val="center"/>
            </w:pPr>
            <w:r>
              <w:rPr>
                <w:rFonts w:ascii="Times New Roman" w:hAnsi="Times New Roman"/>
                <w:b w:val="0"/>
                <w:i w:val="0"/>
                <w:sz w:val="18"/>
              </w:rPr>
              <w:t>895</w:t>
            </w:r>
          </w:p>
        </w:tc>
        <w:tc>
          <w:tcPr>
            <w:tcW w:type="dxa" w:w="1440"/>
          </w:tcPr>
          <w:p>
            <w:pPr>
              <w:jc w:val="center"/>
            </w:pPr>
            <w:r>
              <w:rPr>
                <w:rFonts w:ascii="Times New Roman" w:hAnsi="Times New Roman"/>
                <w:b w:val="0"/>
                <w:i w:val="0"/>
                <w:sz w:val="18"/>
              </w:rPr>
              <w:t>19.3</w:t>
            </w:r>
          </w:p>
        </w:tc>
      </w:tr>
      <w:tr>
        <w:tc>
          <w:tcPr>
            <w:tcW w:type="dxa" w:w="3024"/>
          </w:tcPr>
          <w:p>
            <w:pPr>
              <w:jc w:val="left"/>
            </w:pPr>
            <w:r>
              <w:rPr>
                <w:rFonts w:ascii="Times New Roman" w:hAnsi="Times New Roman"/>
                <w:b w:val="0"/>
                <w:i w:val="0"/>
                <w:sz w:val="18"/>
              </w:rPr>
              <w:t>Tamil Nadu</w:t>
            </w:r>
          </w:p>
        </w:tc>
        <w:tc>
          <w:tcPr>
            <w:tcW w:type="dxa" w:w="1152"/>
          </w:tcPr>
          <w:p>
            <w:pPr>
              <w:jc w:val="center"/>
            </w:pPr>
            <w:r>
              <w:rPr>
                <w:rFonts w:ascii="Times New Roman" w:hAnsi="Times New Roman"/>
                <w:b w:val="0"/>
                <w:i w:val="0"/>
                <w:sz w:val="18"/>
              </w:rPr>
              <w:t>4486</w:t>
            </w:r>
          </w:p>
        </w:tc>
        <w:tc>
          <w:tcPr>
            <w:tcW w:type="dxa" w:w="1296"/>
          </w:tcPr>
          <w:p>
            <w:pPr>
              <w:jc w:val="center"/>
            </w:pPr>
            <w:r>
              <w:rPr>
                <w:rFonts w:ascii="Times New Roman" w:hAnsi="Times New Roman"/>
                <w:b w:val="0"/>
                <w:i w:val="0"/>
                <w:sz w:val="18"/>
              </w:rPr>
              <w:t>67898</w:t>
            </w:r>
          </w:p>
        </w:tc>
        <w:tc>
          <w:tcPr>
            <w:tcW w:type="dxa" w:w="1152"/>
          </w:tcPr>
          <w:p>
            <w:pPr>
              <w:jc w:val="center"/>
            </w:pPr>
            <w:r>
              <w:rPr>
                <w:rFonts w:ascii="Times New Roman" w:hAnsi="Times New Roman"/>
                <w:b w:val="0"/>
                <w:i w:val="0"/>
                <w:sz w:val="18"/>
              </w:rPr>
              <w:t>84.0</w:t>
            </w:r>
          </w:p>
        </w:tc>
        <w:tc>
          <w:tcPr>
            <w:tcW w:type="dxa" w:w="1152"/>
          </w:tcPr>
          <w:p>
            <w:pPr>
              <w:jc w:val="center"/>
            </w:pPr>
            <w:r>
              <w:rPr>
                <w:rFonts w:ascii="Times New Roman" w:hAnsi="Times New Roman"/>
                <w:b w:val="0"/>
                <w:i w:val="0"/>
                <w:sz w:val="18"/>
              </w:rPr>
              <w:t>1042</w:t>
            </w:r>
          </w:p>
        </w:tc>
        <w:tc>
          <w:tcPr>
            <w:tcW w:type="dxa" w:w="1440"/>
          </w:tcPr>
          <w:p>
            <w:pPr>
              <w:jc w:val="center"/>
            </w:pPr>
            <w:r>
              <w:rPr>
                <w:rFonts w:ascii="Times New Roman" w:hAnsi="Times New Roman"/>
                <w:b w:val="0"/>
                <w:i w:val="0"/>
                <w:sz w:val="18"/>
              </w:rPr>
              <w:t>23.2</w:t>
            </w:r>
          </w:p>
        </w:tc>
      </w:tr>
      <w:tr>
        <w:tc>
          <w:tcPr>
            <w:tcW w:type="dxa" w:w="3024"/>
          </w:tcPr>
          <w:p>
            <w:pPr>
              <w:jc w:val="left"/>
            </w:pPr>
            <w:r>
              <w:rPr>
                <w:rFonts w:ascii="Times New Roman" w:hAnsi="Times New Roman"/>
                <w:b w:val="0"/>
                <w:i w:val="0"/>
                <w:sz w:val="18"/>
              </w:rPr>
              <w:t>Gujarat</w:t>
            </w:r>
          </w:p>
        </w:tc>
        <w:tc>
          <w:tcPr>
            <w:tcW w:type="dxa" w:w="1152"/>
          </w:tcPr>
          <w:p>
            <w:pPr>
              <w:jc w:val="center"/>
            </w:pPr>
            <w:r>
              <w:rPr>
                <w:rFonts w:ascii="Times New Roman" w:hAnsi="Times New Roman"/>
                <w:b w:val="0"/>
                <w:i w:val="0"/>
                <w:sz w:val="18"/>
              </w:rPr>
              <w:t>4474</w:t>
            </w:r>
          </w:p>
        </w:tc>
        <w:tc>
          <w:tcPr>
            <w:tcW w:type="dxa" w:w="1296"/>
          </w:tcPr>
          <w:p>
            <w:pPr>
              <w:jc w:val="center"/>
            </w:pPr>
            <w:r>
              <w:rPr>
                <w:rFonts w:ascii="Times New Roman" w:hAnsi="Times New Roman"/>
                <w:b w:val="0"/>
                <w:i w:val="0"/>
                <w:sz w:val="18"/>
              </w:rPr>
              <w:t>62661</w:t>
            </w:r>
          </w:p>
        </w:tc>
        <w:tc>
          <w:tcPr>
            <w:tcW w:type="dxa" w:w="1152"/>
          </w:tcPr>
          <w:p>
            <w:pPr>
              <w:jc w:val="center"/>
            </w:pPr>
            <w:r>
              <w:rPr>
                <w:rFonts w:ascii="Times New Roman" w:hAnsi="Times New Roman"/>
                <w:b w:val="0"/>
                <w:i w:val="0"/>
                <w:sz w:val="18"/>
              </w:rPr>
              <w:t>88.6</w:t>
            </w:r>
          </w:p>
        </w:tc>
        <w:tc>
          <w:tcPr>
            <w:tcW w:type="dxa" w:w="1152"/>
          </w:tcPr>
          <w:p>
            <w:pPr>
              <w:jc w:val="center"/>
            </w:pPr>
            <w:r>
              <w:rPr>
                <w:rFonts w:ascii="Times New Roman" w:hAnsi="Times New Roman"/>
                <w:b w:val="0"/>
                <w:i w:val="0"/>
                <w:sz w:val="18"/>
              </w:rPr>
              <w:t>712</w:t>
            </w:r>
          </w:p>
        </w:tc>
        <w:tc>
          <w:tcPr>
            <w:tcW w:type="dxa" w:w="1440"/>
          </w:tcPr>
          <w:p>
            <w:pPr>
              <w:jc w:val="center"/>
            </w:pPr>
            <w:r>
              <w:rPr>
                <w:rFonts w:ascii="Times New Roman" w:hAnsi="Times New Roman"/>
                <w:b w:val="0"/>
                <w:i w:val="0"/>
                <w:sz w:val="18"/>
              </w:rPr>
              <w:t>15.9</w:t>
            </w:r>
          </w:p>
        </w:tc>
      </w:tr>
      <w:tr>
        <w:tc>
          <w:tcPr>
            <w:tcW w:type="dxa" w:w="3024"/>
          </w:tcPr>
          <w:p>
            <w:pPr>
              <w:jc w:val="left"/>
            </w:pPr>
            <w:r>
              <w:rPr>
                <w:rFonts w:ascii="Times New Roman" w:hAnsi="Times New Roman"/>
                <w:b w:val="0"/>
                <w:i w:val="0"/>
                <w:sz w:val="18"/>
              </w:rPr>
              <w:t>Madhya Pradesh</w:t>
            </w:r>
          </w:p>
        </w:tc>
        <w:tc>
          <w:tcPr>
            <w:tcW w:type="dxa" w:w="1152"/>
          </w:tcPr>
          <w:p>
            <w:pPr>
              <w:jc w:val="center"/>
            </w:pPr>
            <w:r>
              <w:rPr>
                <w:rFonts w:ascii="Times New Roman" w:hAnsi="Times New Roman"/>
                <w:b w:val="0"/>
                <w:i w:val="0"/>
                <w:sz w:val="18"/>
              </w:rPr>
              <w:t>4358</w:t>
            </w:r>
          </w:p>
        </w:tc>
        <w:tc>
          <w:tcPr>
            <w:tcW w:type="dxa" w:w="1296"/>
          </w:tcPr>
          <w:p>
            <w:pPr>
              <w:jc w:val="center"/>
            </w:pPr>
            <w:r>
              <w:rPr>
                <w:rFonts w:ascii="Times New Roman" w:hAnsi="Times New Roman"/>
                <w:b w:val="0"/>
                <w:i w:val="0"/>
                <w:sz w:val="18"/>
              </w:rPr>
              <w:t>67773</w:t>
            </w:r>
          </w:p>
        </w:tc>
        <w:tc>
          <w:tcPr>
            <w:tcW w:type="dxa" w:w="1152"/>
          </w:tcPr>
          <w:p>
            <w:pPr>
              <w:jc w:val="center"/>
            </w:pPr>
            <w:r>
              <w:rPr>
                <w:rFonts w:ascii="Times New Roman" w:hAnsi="Times New Roman"/>
                <w:b w:val="0"/>
                <w:i w:val="0"/>
                <w:sz w:val="18"/>
              </w:rPr>
              <w:t>73.9</w:t>
            </w:r>
          </w:p>
        </w:tc>
        <w:tc>
          <w:tcPr>
            <w:tcW w:type="dxa" w:w="1152"/>
          </w:tcPr>
          <w:p>
            <w:pPr>
              <w:jc w:val="center"/>
            </w:pPr>
            <w:r>
              <w:rPr>
                <w:rFonts w:ascii="Times New Roman" w:hAnsi="Times New Roman"/>
                <w:b w:val="0"/>
                <w:i w:val="0"/>
                <w:sz w:val="18"/>
              </w:rPr>
              <w:t>635</w:t>
            </w:r>
          </w:p>
        </w:tc>
        <w:tc>
          <w:tcPr>
            <w:tcW w:type="dxa" w:w="1440"/>
          </w:tcPr>
          <w:p>
            <w:pPr>
              <w:jc w:val="center"/>
            </w:pPr>
            <w:r>
              <w:rPr>
                <w:rFonts w:ascii="Times New Roman" w:hAnsi="Times New Roman"/>
                <w:b w:val="0"/>
                <w:i w:val="0"/>
                <w:sz w:val="18"/>
              </w:rPr>
              <w:t>14.6</w:t>
            </w:r>
          </w:p>
        </w:tc>
      </w:tr>
      <w:tr>
        <w:tc>
          <w:tcPr>
            <w:tcW w:type="dxa" w:w="3024"/>
          </w:tcPr>
          <w:p>
            <w:pPr>
              <w:jc w:val="left"/>
            </w:pPr>
            <w:r>
              <w:rPr>
                <w:rFonts w:ascii="Times New Roman" w:hAnsi="Times New Roman"/>
                <w:b w:val="0"/>
                <w:i w:val="0"/>
                <w:sz w:val="18"/>
              </w:rPr>
              <w:t>Odisha</w:t>
            </w:r>
          </w:p>
        </w:tc>
        <w:tc>
          <w:tcPr>
            <w:tcW w:type="dxa" w:w="1152"/>
          </w:tcPr>
          <w:p>
            <w:pPr>
              <w:jc w:val="center"/>
            </w:pPr>
            <w:r>
              <w:rPr>
                <w:rFonts w:ascii="Times New Roman" w:hAnsi="Times New Roman"/>
                <w:b w:val="0"/>
                <w:i w:val="0"/>
                <w:sz w:val="18"/>
              </w:rPr>
              <w:t>4168</w:t>
            </w:r>
          </w:p>
        </w:tc>
        <w:tc>
          <w:tcPr>
            <w:tcW w:type="dxa" w:w="1296"/>
          </w:tcPr>
          <w:p>
            <w:pPr>
              <w:jc w:val="center"/>
            </w:pPr>
            <w:r>
              <w:rPr>
                <w:rFonts w:ascii="Times New Roman" w:hAnsi="Times New Roman"/>
                <w:b w:val="0"/>
                <w:i w:val="0"/>
                <w:sz w:val="18"/>
              </w:rPr>
              <w:t>37824</w:t>
            </w:r>
          </w:p>
        </w:tc>
        <w:tc>
          <w:tcPr>
            <w:tcW w:type="dxa" w:w="1152"/>
          </w:tcPr>
          <w:p>
            <w:pPr>
              <w:jc w:val="center"/>
            </w:pPr>
            <w:r>
              <w:rPr>
                <w:rFonts w:ascii="Times New Roman" w:hAnsi="Times New Roman"/>
                <w:b w:val="0"/>
                <w:i w:val="0"/>
                <w:sz w:val="18"/>
              </w:rPr>
              <w:t>79.9</w:t>
            </w:r>
          </w:p>
        </w:tc>
        <w:tc>
          <w:tcPr>
            <w:tcW w:type="dxa" w:w="1152"/>
          </w:tcPr>
          <w:p>
            <w:pPr>
              <w:jc w:val="center"/>
            </w:pPr>
            <w:r>
              <w:rPr>
                <w:rFonts w:ascii="Times New Roman" w:hAnsi="Times New Roman"/>
                <w:b w:val="0"/>
                <w:i w:val="0"/>
                <w:sz w:val="18"/>
              </w:rPr>
              <w:t>684</w:t>
            </w:r>
          </w:p>
        </w:tc>
        <w:tc>
          <w:tcPr>
            <w:tcW w:type="dxa" w:w="1440"/>
          </w:tcPr>
          <w:p>
            <w:pPr>
              <w:jc w:val="center"/>
            </w:pPr>
            <w:r>
              <w:rPr>
                <w:rFonts w:ascii="Times New Roman" w:hAnsi="Times New Roman"/>
                <w:b w:val="0"/>
                <w:i w:val="0"/>
                <w:sz w:val="18"/>
              </w:rPr>
              <w:t>16.4</w:t>
            </w:r>
          </w:p>
        </w:tc>
      </w:tr>
      <w:tr>
        <w:tc>
          <w:tcPr>
            <w:tcW w:type="dxa" w:w="3024"/>
          </w:tcPr>
          <w:p>
            <w:pPr>
              <w:jc w:val="left"/>
            </w:pPr>
            <w:r>
              <w:rPr>
                <w:rFonts w:ascii="Times New Roman" w:hAnsi="Times New Roman"/>
                <w:b w:val="0"/>
                <w:i w:val="0"/>
                <w:sz w:val="18"/>
              </w:rPr>
              <w:t>Other Union Territories</w:t>
            </w:r>
          </w:p>
        </w:tc>
        <w:tc>
          <w:tcPr>
            <w:tcW w:type="dxa" w:w="1152"/>
          </w:tcPr>
          <w:p>
            <w:pPr>
              <w:jc w:val="center"/>
            </w:pPr>
            <w:r>
              <w:rPr>
                <w:rFonts w:ascii="Times New Roman" w:hAnsi="Times New Roman"/>
                <w:b w:val="0"/>
                <w:i w:val="0"/>
                <w:sz w:val="18"/>
              </w:rPr>
              <w:t>4015</w:t>
            </w:r>
          </w:p>
        </w:tc>
        <w:tc>
          <w:tcPr>
            <w:tcW w:type="dxa" w:w="1296"/>
          </w:tcPr>
          <w:p>
            <w:pPr>
              <w:jc w:val="center"/>
            </w:pPr>
            <w:r>
              <w:rPr>
                <w:rFonts w:ascii="Times New Roman" w:hAnsi="Times New Roman"/>
                <w:b w:val="0"/>
                <w:i w:val="0"/>
                <w:sz w:val="18"/>
              </w:rPr>
              <w:t>2880</w:t>
            </w:r>
          </w:p>
        </w:tc>
        <w:tc>
          <w:tcPr>
            <w:tcW w:type="dxa" w:w="1152"/>
          </w:tcPr>
          <w:p>
            <w:pPr>
              <w:jc w:val="center"/>
            </w:pPr>
            <w:r>
              <w:rPr>
                <w:rFonts w:ascii="Times New Roman" w:hAnsi="Times New Roman"/>
                <w:b w:val="0"/>
                <w:i w:val="0"/>
                <w:sz w:val="18"/>
              </w:rPr>
              <w:t>75.1</w:t>
            </w:r>
          </w:p>
        </w:tc>
        <w:tc>
          <w:tcPr>
            <w:tcW w:type="dxa" w:w="1152"/>
          </w:tcPr>
          <w:p>
            <w:pPr>
              <w:jc w:val="center"/>
            </w:pPr>
            <w:r>
              <w:rPr>
                <w:rFonts w:ascii="Times New Roman" w:hAnsi="Times New Roman"/>
                <w:b w:val="0"/>
                <w:i w:val="0"/>
                <w:sz w:val="18"/>
              </w:rPr>
              <w:t>783</w:t>
            </w:r>
          </w:p>
        </w:tc>
        <w:tc>
          <w:tcPr>
            <w:tcW w:type="dxa" w:w="1440"/>
          </w:tcPr>
          <w:p>
            <w:pPr>
              <w:jc w:val="center"/>
            </w:pPr>
            <w:r>
              <w:rPr>
                <w:rFonts w:ascii="Times New Roman" w:hAnsi="Times New Roman"/>
                <w:b w:val="0"/>
                <w:i w:val="0"/>
                <w:sz w:val="18"/>
              </w:rPr>
              <w:t>19.5</w:t>
            </w:r>
          </w:p>
        </w:tc>
      </w:tr>
      <w:tr>
        <w:tc>
          <w:tcPr>
            <w:tcW w:type="dxa" w:w="3024"/>
          </w:tcPr>
          <w:p>
            <w:pPr>
              <w:jc w:val="left"/>
            </w:pPr>
            <w:r>
              <w:rPr>
                <w:rFonts w:ascii="Times New Roman" w:hAnsi="Times New Roman"/>
                <w:b w:val="0"/>
                <w:i w:val="0"/>
                <w:sz w:val="18"/>
              </w:rPr>
              <w:t>Jharkhand</w:t>
            </w:r>
          </w:p>
        </w:tc>
        <w:tc>
          <w:tcPr>
            <w:tcW w:type="dxa" w:w="1152"/>
          </w:tcPr>
          <w:p>
            <w:pPr>
              <w:jc w:val="center"/>
            </w:pPr>
            <w:r>
              <w:rPr>
                <w:rFonts w:ascii="Times New Roman" w:hAnsi="Times New Roman"/>
                <w:b w:val="0"/>
                <w:i w:val="0"/>
                <w:sz w:val="18"/>
              </w:rPr>
              <w:t>3959</w:t>
            </w:r>
          </w:p>
        </w:tc>
        <w:tc>
          <w:tcPr>
            <w:tcW w:type="dxa" w:w="1296"/>
          </w:tcPr>
          <w:p>
            <w:pPr>
              <w:jc w:val="center"/>
            </w:pPr>
            <w:r>
              <w:rPr>
                <w:rFonts w:ascii="Times New Roman" w:hAnsi="Times New Roman"/>
                <w:b w:val="0"/>
                <w:i w:val="0"/>
                <w:sz w:val="18"/>
              </w:rPr>
              <w:t>28137</w:t>
            </w:r>
          </w:p>
        </w:tc>
        <w:tc>
          <w:tcPr>
            <w:tcW w:type="dxa" w:w="1152"/>
          </w:tcPr>
          <w:p>
            <w:pPr>
              <w:jc w:val="center"/>
            </w:pPr>
            <w:r>
              <w:rPr>
                <w:rFonts w:ascii="Times New Roman" w:hAnsi="Times New Roman"/>
                <w:b w:val="0"/>
                <w:i w:val="0"/>
                <w:sz w:val="18"/>
              </w:rPr>
              <w:t>72.1</w:t>
            </w:r>
          </w:p>
        </w:tc>
        <w:tc>
          <w:tcPr>
            <w:tcW w:type="dxa" w:w="1152"/>
          </w:tcPr>
          <w:p>
            <w:pPr>
              <w:jc w:val="center"/>
            </w:pPr>
            <w:r>
              <w:rPr>
                <w:rFonts w:ascii="Times New Roman" w:hAnsi="Times New Roman"/>
                <w:b w:val="0"/>
                <w:i w:val="0"/>
                <w:sz w:val="18"/>
              </w:rPr>
              <w:t>597</w:t>
            </w:r>
          </w:p>
        </w:tc>
        <w:tc>
          <w:tcPr>
            <w:tcW w:type="dxa" w:w="1440"/>
          </w:tcPr>
          <w:p>
            <w:pPr>
              <w:jc w:val="center"/>
            </w:pPr>
            <w:r>
              <w:rPr>
                <w:rFonts w:ascii="Times New Roman" w:hAnsi="Times New Roman"/>
                <w:b w:val="0"/>
                <w:i w:val="0"/>
                <w:sz w:val="18"/>
              </w:rPr>
              <w:t>15.1</w:t>
            </w:r>
          </w:p>
        </w:tc>
      </w:tr>
      <w:tr>
        <w:tc>
          <w:tcPr>
            <w:tcW w:type="dxa" w:w="3024"/>
          </w:tcPr>
          <w:p>
            <w:pPr>
              <w:jc w:val="left"/>
            </w:pPr>
            <w:r>
              <w:rPr>
                <w:rFonts w:ascii="Times New Roman" w:hAnsi="Times New Roman"/>
                <w:b w:val="0"/>
                <w:i w:val="0"/>
                <w:sz w:val="18"/>
              </w:rPr>
              <w:t>Uttar Pradesh</w:t>
            </w:r>
          </w:p>
        </w:tc>
        <w:tc>
          <w:tcPr>
            <w:tcW w:type="dxa" w:w="1152"/>
          </w:tcPr>
          <w:p>
            <w:pPr>
              <w:jc w:val="center"/>
            </w:pPr>
            <w:r>
              <w:rPr>
                <w:rFonts w:ascii="Times New Roman" w:hAnsi="Times New Roman"/>
                <w:b w:val="0"/>
                <w:i w:val="0"/>
                <w:sz w:val="18"/>
              </w:rPr>
              <w:t>3917</w:t>
            </w:r>
          </w:p>
        </w:tc>
        <w:tc>
          <w:tcPr>
            <w:tcW w:type="dxa" w:w="1296"/>
          </w:tcPr>
          <w:p>
            <w:pPr>
              <w:jc w:val="center"/>
            </w:pPr>
            <w:r>
              <w:rPr>
                <w:rFonts w:ascii="Times New Roman" w:hAnsi="Times New Roman"/>
                <w:b w:val="0"/>
                <w:i w:val="0"/>
                <w:sz w:val="18"/>
              </w:rPr>
              <w:t>169386</w:t>
            </w:r>
          </w:p>
        </w:tc>
        <w:tc>
          <w:tcPr>
            <w:tcW w:type="dxa" w:w="1152"/>
          </w:tcPr>
          <w:p>
            <w:pPr>
              <w:jc w:val="center"/>
            </w:pPr>
            <w:r>
              <w:rPr>
                <w:rFonts w:ascii="Times New Roman" w:hAnsi="Times New Roman"/>
                <w:b w:val="0"/>
                <w:i w:val="0"/>
                <w:sz w:val="18"/>
              </w:rPr>
              <w:t>67.1</w:t>
            </w:r>
          </w:p>
        </w:tc>
        <w:tc>
          <w:tcPr>
            <w:tcW w:type="dxa" w:w="1152"/>
          </w:tcPr>
          <w:p>
            <w:pPr>
              <w:jc w:val="center"/>
            </w:pPr>
            <w:r>
              <w:rPr>
                <w:rFonts w:ascii="Times New Roman" w:hAnsi="Times New Roman"/>
                <w:b w:val="0"/>
                <w:i w:val="0"/>
                <w:sz w:val="18"/>
              </w:rPr>
              <w:t>701</w:t>
            </w:r>
          </w:p>
        </w:tc>
        <w:tc>
          <w:tcPr>
            <w:tcW w:type="dxa" w:w="1440"/>
          </w:tcPr>
          <w:p>
            <w:pPr>
              <w:jc w:val="center"/>
            </w:pPr>
            <w:r>
              <w:rPr>
                <w:rFonts w:ascii="Times New Roman" w:hAnsi="Times New Roman"/>
                <w:b w:val="0"/>
                <w:i w:val="0"/>
                <w:sz w:val="18"/>
              </w:rPr>
              <w:t>17.9</w:t>
            </w:r>
          </w:p>
        </w:tc>
      </w:tr>
      <w:tr>
        <w:tc>
          <w:tcPr>
            <w:tcW w:type="dxa" w:w="3024"/>
          </w:tcPr>
          <w:p>
            <w:pPr>
              <w:jc w:val="left"/>
            </w:pPr>
            <w:r>
              <w:rPr>
                <w:rFonts w:ascii="Times New Roman" w:hAnsi="Times New Roman"/>
                <w:b w:val="0"/>
                <w:i w:val="0"/>
                <w:sz w:val="18"/>
              </w:rPr>
              <w:t>Manipur</w:t>
            </w:r>
          </w:p>
        </w:tc>
        <w:tc>
          <w:tcPr>
            <w:tcW w:type="dxa" w:w="1152"/>
          </w:tcPr>
          <w:p>
            <w:pPr>
              <w:jc w:val="center"/>
            </w:pPr>
            <w:r>
              <w:rPr>
                <w:rFonts w:ascii="Times New Roman" w:hAnsi="Times New Roman"/>
                <w:b w:val="0"/>
                <w:i w:val="0"/>
                <w:sz w:val="18"/>
              </w:rPr>
              <w:t>3788</w:t>
            </w:r>
          </w:p>
        </w:tc>
        <w:tc>
          <w:tcPr>
            <w:tcW w:type="dxa" w:w="1296"/>
          </w:tcPr>
          <w:p>
            <w:pPr>
              <w:jc w:val="center"/>
            </w:pPr>
            <w:r>
              <w:rPr>
                <w:rFonts w:ascii="Times New Roman" w:hAnsi="Times New Roman"/>
                <w:b w:val="0"/>
                <w:i w:val="0"/>
                <w:sz w:val="18"/>
              </w:rPr>
              <w:t>2377</w:t>
            </w:r>
          </w:p>
        </w:tc>
        <w:tc>
          <w:tcPr>
            <w:tcW w:type="dxa" w:w="1152"/>
          </w:tcPr>
          <w:p>
            <w:pPr>
              <w:jc w:val="center"/>
            </w:pPr>
            <w:r>
              <w:rPr>
                <w:rFonts w:ascii="Times New Roman" w:hAnsi="Times New Roman"/>
                <w:b w:val="0"/>
                <w:i w:val="0"/>
                <w:sz w:val="18"/>
              </w:rPr>
              <w:t>66.0</w:t>
            </w:r>
          </w:p>
        </w:tc>
        <w:tc>
          <w:tcPr>
            <w:tcW w:type="dxa" w:w="1152"/>
          </w:tcPr>
          <w:p>
            <w:pPr>
              <w:jc w:val="center"/>
            </w:pPr>
            <w:r>
              <w:rPr>
                <w:rFonts w:ascii="Times New Roman" w:hAnsi="Times New Roman"/>
                <w:b w:val="0"/>
                <w:i w:val="0"/>
                <w:sz w:val="18"/>
              </w:rPr>
              <w:t>585</w:t>
            </w:r>
          </w:p>
        </w:tc>
        <w:tc>
          <w:tcPr>
            <w:tcW w:type="dxa" w:w="1440"/>
          </w:tcPr>
          <w:p>
            <w:pPr>
              <w:jc w:val="center"/>
            </w:pPr>
            <w:r>
              <w:rPr>
                <w:rFonts w:ascii="Times New Roman" w:hAnsi="Times New Roman"/>
                <w:b w:val="0"/>
                <w:i w:val="0"/>
                <w:sz w:val="18"/>
              </w:rPr>
              <w:t>15.5</w:t>
            </w:r>
          </w:p>
        </w:tc>
      </w:tr>
      <w:tr>
        <w:tc>
          <w:tcPr>
            <w:tcW w:type="dxa" w:w="3024"/>
          </w:tcPr>
          <w:p>
            <w:pPr>
              <w:jc w:val="left"/>
            </w:pPr>
            <w:r>
              <w:rPr>
                <w:rFonts w:ascii="Times New Roman" w:hAnsi="Times New Roman"/>
                <w:b w:val="0"/>
                <w:i w:val="0"/>
                <w:sz w:val="18"/>
              </w:rPr>
              <w:t>Tripura</w:t>
            </w:r>
          </w:p>
        </w:tc>
        <w:tc>
          <w:tcPr>
            <w:tcW w:type="dxa" w:w="1152"/>
          </w:tcPr>
          <w:p>
            <w:pPr>
              <w:jc w:val="center"/>
            </w:pPr>
            <w:r>
              <w:rPr>
                <w:rFonts w:ascii="Times New Roman" w:hAnsi="Times New Roman"/>
                <w:b w:val="0"/>
                <w:i w:val="0"/>
                <w:sz w:val="18"/>
              </w:rPr>
              <w:t>3736</w:t>
            </w:r>
          </w:p>
        </w:tc>
        <w:tc>
          <w:tcPr>
            <w:tcW w:type="dxa" w:w="1296"/>
          </w:tcPr>
          <w:p>
            <w:pPr>
              <w:jc w:val="center"/>
            </w:pPr>
            <w:r>
              <w:rPr>
                <w:rFonts w:ascii="Times New Roman" w:hAnsi="Times New Roman"/>
                <w:b w:val="0"/>
                <w:i w:val="0"/>
                <w:sz w:val="18"/>
              </w:rPr>
              <w:t>2597</w:t>
            </w:r>
          </w:p>
        </w:tc>
        <w:tc>
          <w:tcPr>
            <w:tcW w:type="dxa" w:w="1152"/>
          </w:tcPr>
          <w:p>
            <w:pPr>
              <w:jc w:val="center"/>
            </w:pPr>
            <w:r>
              <w:rPr>
                <w:rFonts w:ascii="Times New Roman" w:hAnsi="Times New Roman"/>
                <w:b w:val="0"/>
                <w:i w:val="0"/>
                <w:sz w:val="18"/>
              </w:rPr>
              <w:t>63.8</w:t>
            </w:r>
          </w:p>
        </w:tc>
        <w:tc>
          <w:tcPr>
            <w:tcW w:type="dxa" w:w="1152"/>
          </w:tcPr>
          <w:p>
            <w:pPr>
              <w:jc w:val="center"/>
            </w:pPr>
            <w:r>
              <w:rPr>
                <w:rFonts w:ascii="Times New Roman" w:hAnsi="Times New Roman"/>
                <w:b w:val="0"/>
                <w:i w:val="0"/>
                <w:sz w:val="18"/>
              </w:rPr>
              <w:t>632</w:t>
            </w:r>
          </w:p>
        </w:tc>
        <w:tc>
          <w:tcPr>
            <w:tcW w:type="dxa" w:w="1440"/>
          </w:tcPr>
          <w:p>
            <w:pPr>
              <w:jc w:val="center"/>
            </w:pPr>
            <w:r>
              <w:rPr>
                <w:rFonts w:ascii="Times New Roman" w:hAnsi="Times New Roman"/>
                <w:b w:val="0"/>
                <w:i w:val="0"/>
                <w:sz w:val="18"/>
              </w:rPr>
              <w:t>16.9</w:t>
            </w:r>
          </w:p>
        </w:tc>
      </w:tr>
      <w:tr>
        <w:tc>
          <w:tcPr>
            <w:tcW w:type="dxa" w:w="3024"/>
          </w:tcPr>
          <w:p>
            <w:pPr>
              <w:jc w:val="left"/>
            </w:pPr>
            <w:r>
              <w:rPr>
                <w:rFonts w:ascii="Times New Roman" w:hAnsi="Times New Roman"/>
                <w:b w:val="0"/>
                <w:i w:val="0"/>
                <w:sz w:val="18"/>
              </w:rPr>
              <w:t>Assam</w:t>
            </w:r>
          </w:p>
        </w:tc>
        <w:tc>
          <w:tcPr>
            <w:tcW w:type="dxa" w:w="1152"/>
          </w:tcPr>
          <w:p>
            <w:pPr>
              <w:jc w:val="center"/>
            </w:pPr>
            <w:r>
              <w:rPr>
                <w:rFonts w:ascii="Times New Roman" w:hAnsi="Times New Roman"/>
                <w:b w:val="0"/>
                <w:i w:val="0"/>
                <w:sz w:val="18"/>
              </w:rPr>
              <w:t>3675</w:t>
            </w:r>
          </w:p>
        </w:tc>
        <w:tc>
          <w:tcPr>
            <w:tcW w:type="dxa" w:w="1296"/>
          </w:tcPr>
          <w:p>
            <w:pPr>
              <w:jc w:val="center"/>
            </w:pPr>
            <w:r>
              <w:rPr>
                <w:rFonts w:ascii="Times New Roman" w:hAnsi="Times New Roman"/>
                <w:b w:val="0"/>
                <w:i w:val="0"/>
                <w:sz w:val="18"/>
              </w:rPr>
              <w:t>23561</w:t>
            </w:r>
          </w:p>
        </w:tc>
        <w:tc>
          <w:tcPr>
            <w:tcW w:type="dxa" w:w="1152"/>
          </w:tcPr>
          <w:p>
            <w:pPr>
              <w:jc w:val="center"/>
            </w:pPr>
            <w:r>
              <w:rPr>
                <w:rFonts w:ascii="Times New Roman" w:hAnsi="Times New Roman"/>
                <w:b w:val="0"/>
                <w:i w:val="0"/>
                <w:sz w:val="18"/>
              </w:rPr>
              <w:t>63.6</w:t>
            </w:r>
          </w:p>
        </w:tc>
        <w:tc>
          <w:tcPr>
            <w:tcW w:type="dxa" w:w="1152"/>
          </w:tcPr>
          <w:p>
            <w:pPr>
              <w:jc w:val="center"/>
            </w:pPr>
            <w:r>
              <w:rPr>
                <w:rFonts w:ascii="Times New Roman" w:hAnsi="Times New Roman"/>
                <w:b w:val="0"/>
                <w:i w:val="0"/>
                <w:sz w:val="18"/>
              </w:rPr>
              <w:t>702</w:t>
            </w:r>
          </w:p>
        </w:tc>
        <w:tc>
          <w:tcPr>
            <w:tcW w:type="dxa" w:w="1440"/>
          </w:tcPr>
          <w:p>
            <w:pPr>
              <w:jc w:val="center"/>
            </w:pPr>
            <w:r>
              <w:rPr>
                <w:rFonts w:ascii="Times New Roman" w:hAnsi="Times New Roman"/>
                <w:b w:val="0"/>
                <w:i w:val="0"/>
                <w:sz w:val="18"/>
              </w:rPr>
              <w:t>19.1</w:t>
            </w:r>
          </w:p>
        </w:tc>
      </w:tr>
      <w:tr>
        <w:tc>
          <w:tcPr>
            <w:tcW w:type="dxa" w:w="3024"/>
          </w:tcPr>
          <w:p>
            <w:pPr>
              <w:jc w:val="left"/>
            </w:pPr>
            <w:r>
              <w:rPr>
                <w:rFonts w:ascii="Times New Roman" w:hAnsi="Times New Roman"/>
                <w:b w:val="0"/>
                <w:i w:val="0"/>
                <w:sz w:val="18"/>
              </w:rPr>
              <w:t>Punjab</w:t>
            </w:r>
          </w:p>
        </w:tc>
        <w:tc>
          <w:tcPr>
            <w:tcW w:type="dxa" w:w="1152"/>
          </w:tcPr>
          <w:p>
            <w:pPr>
              <w:jc w:val="center"/>
            </w:pPr>
            <w:r>
              <w:rPr>
                <w:rFonts w:ascii="Times New Roman" w:hAnsi="Times New Roman"/>
                <w:b w:val="0"/>
                <w:i w:val="0"/>
                <w:sz w:val="18"/>
              </w:rPr>
              <w:t>3632</w:t>
            </w:r>
          </w:p>
        </w:tc>
        <w:tc>
          <w:tcPr>
            <w:tcW w:type="dxa" w:w="1296"/>
          </w:tcPr>
          <w:p>
            <w:pPr>
              <w:jc w:val="center"/>
            </w:pPr>
            <w:r>
              <w:rPr>
                <w:rFonts w:ascii="Times New Roman" w:hAnsi="Times New Roman"/>
                <w:b w:val="0"/>
                <w:i w:val="0"/>
                <w:sz w:val="18"/>
              </w:rPr>
              <w:t>21058</w:t>
            </w:r>
          </w:p>
        </w:tc>
        <w:tc>
          <w:tcPr>
            <w:tcW w:type="dxa" w:w="1152"/>
          </w:tcPr>
          <w:p>
            <w:pPr>
              <w:jc w:val="center"/>
            </w:pPr>
            <w:r>
              <w:rPr>
                <w:rFonts w:ascii="Times New Roman" w:hAnsi="Times New Roman"/>
                <w:b w:val="0"/>
                <w:i w:val="0"/>
                <w:sz w:val="18"/>
              </w:rPr>
              <w:t>67.7</w:t>
            </w:r>
          </w:p>
        </w:tc>
        <w:tc>
          <w:tcPr>
            <w:tcW w:type="dxa" w:w="1152"/>
          </w:tcPr>
          <w:p>
            <w:pPr>
              <w:jc w:val="center"/>
            </w:pPr>
            <w:r>
              <w:rPr>
                <w:rFonts w:ascii="Times New Roman" w:hAnsi="Times New Roman"/>
                <w:b w:val="0"/>
                <w:i w:val="0"/>
                <w:sz w:val="18"/>
              </w:rPr>
              <w:t>739</w:t>
            </w:r>
          </w:p>
        </w:tc>
        <w:tc>
          <w:tcPr>
            <w:tcW w:type="dxa" w:w="1440"/>
          </w:tcPr>
          <w:p>
            <w:pPr>
              <w:jc w:val="center"/>
            </w:pPr>
            <w:r>
              <w:rPr>
                <w:rFonts w:ascii="Times New Roman" w:hAnsi="Times New Roman"/>
                <w:b w:val="0"/>
                <w:i w:val="0"/>
                <w:sz w:val="18"/>
              </w:rPr>
              <w:t>20.3</w:t>
            </w:r>
          </w:p>
        </w:tc>
      </w:tr>
      <w:tr>
        <w:tc>
          <w:tcPr>
            <w:tcW w:type="dxa" w:w="3024"/>
          </w:tcPr>
          <w:p>
            <w:pPr>
              <w:jc w:val="left"/>
            </w:pPr>
            <w:r>
              <w:rPr>
                <w:rFonts w:ascii="Times New Roman" w:hAnsi="Times New Roman"/>
                <w:b w:val="0"/>
                <w:i w:val="0"/>
                <w:sz w:val="18"/>
              </w:rPr>
              <w:t>Arunachal Pradesh</w:t>
            </w:r>
          </w:p>
        </w:tc>
        <w:tc>
          <w:tcPr>
            <w:tcW w:type="dxa" w:w="1152"/>
          </w:tcPr>
          <w:p>
            <w:pPr>
              <w:jc w:val="center"/>
            </w:pPr>
            <w:r>
              <w:rPr>
                <w:rFonts w:ascii="Times New Roman" w:hAnsi="Times New Roman"/>
                <w:b w:val="0"/>
                <w:i w:val="0"/>
                <w:sz w:val="18"/>
              </w:rPr>
              <w:t>3482</w:t>
            </w:r>
          </w:p>
        </w:tc>
        <w:tc>
          <w:tcPr>
            <w:tcW w:type="dxa" w:w="1296"/>
          </w:tcPr>
          <w:p>
            <w:pPr>
              <w:jc w:val="center"/>
            </w:pPr>
            <w:r>
              <w:rPr>
                <w:rFonts w:ascii="Times New Roman" w:hAnsi="Times New Roman"/>
                <w:b w:val="0"/>
                <w:i w:val="0"/>
                <w:sz w:val="18"/>
              </w:rPr>
              <w:t>917</w:t>
            </w:r>
          </w:p>
        </w:tc>
        <w:tc>
          <w:tcPr>
            <w:tcW w:type="dxa" w:w="1152"/>
          </w:tcPr>
          <w:p>
            <w:pPr>
              <w:jc w:val="center"/>
            </w:pPr>
            <w:r>
              <w:rPr>
                <w:rFonts w:ascii="Times New Roman" w:hAnsi="Times New Roman"/>
                <w:b w:val="0"/>
                <w:i w:val="0"/>
                <w:sz w:val="18"/>
              </w:rPr>
              <w:t>52.9</w:t>
            </w:r>
          </w:p>
        </w:tc>
        <w:tc>
          <w:tcPr>
            <w:tcW w:type="dxa" w:w="1152"/>
          </w:tcPr>
          <w:p>
            <w:pPr>
              <w:jc w:val="center"/>
            </w:pPr>
            <w:r>
              <w:rPr>
                <w:rFonts w:ascii="Times New Roman" w:hAnsi="Times New Roman"/>
                <w:b w:val="0"/>
                <w:i w:val="0"/>
                <w:sz w:val="18"/>
              </w:rPr>
              <w:t>585</w:t>
            </w:r>
          </w:p>
        </w:tc>
        <w:tc>
          <w:tcPr>
            <w:tcW w:type="dxa" w:w="1440"/>
          </w:tcPr>
          <w:p>
            <w:pPr>
              <w:jc w:val="center"/>
            </w:pPr>
            <w:r>
              <w:rPr>
                <w:rFonts w:ascii="Times New Roman" w:hAnsi="Times New Roman"/>
                <w:b w:val="0"/>
                <w:i w:val="0"/>
                <w:sz w:val="18"/>
              </w:rPr>
              <w:t>16.8</w:t>
            </w:r>
          </w:p>
        </w:tc>
      </w:tr>
      <w:tr>
        <w:tc>
          <w:tcPr>
            <w:tcW w:type="dxa" w:w="3024"/>
          </w:tcPr>
          <w:p>
            <w:pPr>
              <w:jc w:val="left"/>
            </w:pPr>
            <w:r>
              <w:rPr>
                <w:rFonts w:ascii="Times New Roman" w:hAnsi="Times New Roman"/>
                <w:b w:val="0"/>
                <w:i w:val="0"/>
                <w:sz w:val="18"/>
              </w:rPr>
              <w:t>West Bengal</w:t>
            </w:r>
          </w:p>
        </w:tc>
        <w:tc>
          <w:tcPr>
            <w:tcW w:type="dxa" w:w="1152"/>
          </w:tcPr>
          <w:p>
            <w:pPr>
              <w:jc w:val="center"/>
            </w:pPr>
            <w:r>
              <w:rPr>
                <w:rFonts w:ascii="Times New Roman" w:hAnsi="Times New Roman"/>
                <w:b w:val="0"/>
                <w:i w:val="0"/>
                <w:sz w:val="18"/>
              </w:rPr>
              <w:t>3413</w:t>
            </w:r>
          </w:p>
        </w:tc>
        <w:tc>
          <w:tcPr>
            <w:tcW w:type="dxa" w:w="1296"/>
          </w:tcPr>
          <w:p>
            <w:pPr>
              <w:jc w:val="center"/>
            </w:pPr>
            <w:r>
              <w:rPr>
                <w:rFonts w:ascii="Times New Roman" w:hAnsi="Times New Roman"/>
                <w:b w:val="0"/>
                <w:i w:val="0"/>
                <w:sz w:val="18"/>
              </w:rPr>
              <w:t>59400</w:t>
            </w:r>
          </w:p>
        </w:tc>
        <w:tc>
          <w:tcPr>
            <w:tcW w:type="dxa" w:w="1152"/>
          </w:tcPr>
          <w:p>
            <w:pPr>
              <w:jc w:val="center"/>
            </w:pPr>
            <w:r>
              <w:rPr>
                <w:rFonts w:ascii="Times New Roman" w:hAnsi="Times New Roman"/>
                <w:b w:val="0"/>
                <w:i w:val="0"/>
                <w:sz w:val="18"/>
              </w:rPr>
              <w:t>58.9</w:t>
            </w:r>
          </w:p>
        </w:tc>
        <w:tc>
          <w:tcPr>
            <w:tcW w:type="dxa" w:w="1152"/>
          </w:tcPr>
          <w:p>
            <w:pPr>
              <w:jc w:val="center"/>
            </w:pPr>
            <w:r>
              <w:rPr>
                <w:rFonts w:ascii="Times New Roman" w:hAnsi="Times New Roman"/>
                <w:b w:val="0"/>
                <w:i w:val="0"/>
                <w:sz w:val="18"/>
              </w:rPr>
              <w:t>835</w:t>
            </w:r>
          </w:p>
        </w:tc>
        <w:tc>
          <w:tcPr>
            <w:tcW w:type="dxa" w:w="1440"/>
          </w:tcPr>
          <w:p>
            <w:pPr>
              <w:jc w:val="center"/>
            </w:pPr>
            <w:r>
              <w:rPr>
                <w:rFonts w:ascii="Times New Roman" w:hAnsi="Times New Roman"/>
                <w:b w:val="0"/>
                <w:i w:val="0"/>
                <w:sz w:val="18"/>
              </w:rPr>
              <w:t>24.5</w:t>
            </w:r>
          </w:p>
        </w:tc>
      </w:tr>
      <w:tr>
        <w:tc>
          <w:tcPr>
            <w:tcW w:type="dxa" w:w="3024"/>
          </w:tcPr>
          <w:p>
            <w:pPr>
              <w:jc w:val="left"/>
            </w:pPr>
            <w:r>
              <w:rPr>
                <w:rFonts w:ascii="Times New Roman" w:hAnsi="Times New Roman"/>
                <w:b w:val="0"/>
                <w:i w:val="0"/>
                <w:sz w:val="18"/>
              </w:rPr>
              <w:t>Rajasthan</w:t>
            </w:r>
          </w:p>
        </w:tc>
        <w:tc>
          <w:tcPr>
            <w:tcW w:type="dxa" w:w="1152"/>
          </w:tcPr>
          <w:p>
            <w:pPr>
              <w:jc w:val="center"/>
            </w:pPr>
            <w:r>
              <w:rPr>
                <w:rFonts w:ascii="Times New Roman" w:hAnsi="Times New Roman"/>
                <w:b w:val="0"/>
                <w:i w:val="0"/>
                <w:sz w:val="18"/>
              </w:rPr>
              <w:t>3353</w:t>
            </w:r>
          </w:p>
        </w:tc>
        <w:tc>
          <w:tcPr>
            <w:tcW w:type="dxa" w:w="1296"/>
          </w:tcPr>
          <w:p>
            <w:pPr>
              <w:jc w:val="center"/>
            </w:pPr>
            <w:r>
              <w:rPr>
                <w:rFonts w:ascii="Times New Roman" w:hAnsi="Times New Roman"/>
                <w:b w:val="0"/>
                <w:i w:val="0"/>
                <w:sz w:val="18"/>
              </w:rPr>
              <w:t>44432</w:t>
            </w:r>
          </w:p>
        </w:tc>
        <w:tc>
          <w:tcPr>
            <w:tcW w:type="dxa" w:w="1152"/>
          </w:tcPr>
          <w:p>
            <w:pPr>
              <w:jc w:val="center"/>
            </w:pPr>
            <w:r>
              <w:rPr>
                <w:rFonts w:ascii="Times New Roman" w:hAnsi="Times New Roman"/>
                <w:b w:val="0"/>
                <w:i w:val="0"/>
                <w:sz w:val="18"/>
              </w:rPr>
              <w:t>53.2</w:t>
            </w:r>
          </w:p>
        </w:tc>
        <w:tc>
          <w:tcPr>
            <w:tcW w:type="dxa" w:w="1152"/>
          </w:tcPr>
          <w:p>
            <w:pPr>
              <w:jc w:val="center"/>
            </w:pPr>
            <w:r>
              <w:rPr>
                <w:rFonts w:ascii="Times New Roman" w:hAnsi="Times New Roman"/>
                <w:b w:val="0"/>
                <w:i w:val="0"/>
                <w:sz w:val="18"/>
              </w:rPr>
              <w:t>679</w:t>
            </w:r>
          </w:p>
        </w:tc>
        <w:tc>
          <w:tcPr>
            <w:tcW w:type="dxa" w:w="1440"/>
          </w:tcPr>
          <w:p>
            <w:pPr>
              <w:jc w:val="center"/>
            </w:pPr>
            <w:r>
              <w:rPr>
                <w:rFonts w:ascii="Times New Roman" w:hAnsi="Times New Roman"/>
                <w:b w:val="0"/>
                <w:i w:val="0"/>
                <w:sz w:val="18"/>
              </w:rPr>
              <w:t>20.3</w:t>
            </w:r>
          </w:p>
        </w:tc>
      </w:tr>
      <w:tr>
        <w:tc>
          <w:tcPr>
            <w:tcW w:type="dxa" w:w="3024"/>
          </w:tcPr>
          <w:p>
            <w:pPr>
              <w:jc w:val="left"/>
            </w:pPr>
            <w:r>
              <w:rPr>
                <w:rFonts w:ascii="Times New Roman" w:hAnsi="Times New Roman"/>
                <w:b w:val="0"/>
                <w:i w:val="0"/>
                <w:sz w:val="18"/>
              </w:rPr>
              <w:t>Bihar</w:t>
            </w:r>
          </w:p>
        </w:tc>
        <w:tc>
          <w:tcPr>
            <w:tcW w:type="dxa" w:w="1152"/>
          </w:tcPr>
          <w:p>
            <w:pPr>
              <w:jc w:val="center"/>
            </w:pPr>
            <w:r>
              <w:rPr>
                <w:rFonts w:ascii="Times New Roman" w:hAnsi="Times New Roman"/>
                <w:b w:val="0"/>
                <w:i w:val="0"/>
                <w:sz w:val="18"/>
              </w:rPr>
              <w:t>3294</w:t>
            </w:r>
          </w:p>
        </w:tc>
        <w:tc>
          <w:tcPr>
            <w:tcW w:type="dxa" w:w="1296"/>
          </w:tcPr>
          <w:p>
            <w:pPr>
              <w:jc w:val="center"/>
            </w:pPr>
            <w:r>
              <w:rPr>
                <w:rFonts w:ascii="Times New Roman" w:hAnsi="Times New Roman"/>
                <w:b w:val="0"/>
                <w:i w:val="0"/>
                <w:sz w:val="18"/>
              </w:rPr>
              <w:t>71534</w:t>
            </w:r>
          </w:p>
        </w:tc>
        <w:tc>
          <w:tcPr>
            <w:tcW w:type="dxa" w:w="1152"/>
          </w:tcPr>
          <w:p>
            <w:pPr>
              <w:jc w:val="center"/>
            </w:pPr>
            <w:r>
              <w:rPr>
                <w:rFonts w:ascii="Times New Roman" w:hAnsi="Times New Roman"/>
                <w:b w:val="0"/>
                <w:i w:val="0"/>
                <w:sz w:val="18"/>
              </w:rPr>
              <w:t>57.1</w:t>
            </w:r>
          </w:p>
        </w:tc>
        <w:tc>
          <w:tcPr>
            <w:tcW w:type="dxa" w:w="1152"/>
          </w:tcPr>
          <w:p>
            <w:pPr>
              <w:jc w:val="center"/>
            </w:pPr>
            <w:r>
              <w:rPr>
                <w:rFonts w:ascii="Times New Roman" w:hAnsi="Times New Roman"/>
                <w:b w:val="0"/>
                <w:i w:val="0"/>
                <w:sz w:val="18"/>
              </w:rPr>
              <w:t>593</w:t>
            </w:r>
          </w:p>
        </w:tc>
        <w:tc>
          <w:tcPr>
            <w:tcW w:type="dxa" w:w="1440"/>
          </w:tcPr>
          <w:p>
            <w:pPr>
              <w:jc w:val="center"/>
            </w:pPr>
            <w:r>
              <w:rPr>
                <w:rFonts w:ascii="Times New Roman" w:hAnsi="Times New Roman"/>
                <w:b w:val="0"/>
                <w:i w:val="0"/>
                <w:sz w:val="18"/>
              </w:rPr>
              <w:t>18.0</w:t>
            </w:r>
          </w:p>
        </w:tc>
      </w:tr>
      <w:tr>
        <w:tc>
          <w:tcPr>
            <w:tcW w:type="dxa" w:w="3024"/>
          </w:tcPr>
          <w:p>
            <w:pPr>
              <w:jc w:val="left"/>
            </w:pPr>
            <w:r>
              <w:rPr>
                <w:rFonts w:ascii="Times New Roman" w:hAnsi="Times New Roman"/>
                <w:b w:val="0"/>
                <w:i w:val="0"/>
                <w:sz w:val="18"/>
              </w:rPr>
              <w:t>Nagaland</w:t>
            </w:r>
          </w:p>
        </w:tc>
        <w:tc>
          <w:tcPr>
            <w:tcW w:type="dxa" w:w="1152"/>
          </w:tcPr>
          <w:p>
            <w:pPr>
              <w:jc w:val="center"/>
            </w:pPr>
            <w:r>
              <w:rPr>
                <w:rFonts w:ascii="Times New Roman" w:hAnsi="Times New Roman"/>
                <w:b w:val="0"/>
                <w:i w:val="0"/>
                <w:sz w:val="18"/>
              </w:rPr>
              <w:t>3221</w:t>
            </w:r>
          </w:p>
        </w:tc>
        <w:tc>
          <w:tcPr>
            <w:tcW w:type="dxa" w:w="1296"/>
          </w:tcPr>
          <w:p>
            <w:pPr>
              <w:jc w:val="center"/>
            </w:pPr>
            <w:r>
              <w:rPr>
                <w:rFonts w:ascii="Times New Roman" w:hAnsi="Times New Roman"/>
                <w:b w:val="0"/>
                <w:i w:val="0"/>
                <w:sz w:val="18"/>
              </w:rPr>
              <w:t>961</w:t>
            </w:r>
          </w:p>
        </w:tc>
        <w:tc>
          <w:tcPr>
            <w:tcW w:type="dxa" w:w="1152"/>
          </w:tcPr>
          <w:p>
            <w:pPr>
              <w:jc w:val="center"/>
            </w:pPr>
            <w:r>
              <w:rPr>
                <w:rFonts w:ascii="Times New Roman" w:hAnsi="Times New Roman"/>
                <w:b w:val="0"/>
                <w:i w:val="0"/>
                <w:sz w:val="18"/>
              </w:rPr>
              <w:t>53.0</w:t>
            </w:r>
          </w:p>
        </w:tc>
        <w:tc>
          <w:tcPr>
            <w:tcW w:type="dxa" w:w="1152"/>
          </w:tcPr>
          <w:p>
            <w:pPr>
              <w:jc w:val="center"/>
            </w:pPr>
            <w:r>
              <w:rPr>
                <w:rFonts w:ascii="Times New Roman" w:hAnsi="Times New Roman"/>
                <w:b w:val="0"/>
                <w:i w:val="0"/>
                <w:sz w:val="18"/>
              </w:rPr>
              <w:t>607</w:t>
            </w:r>
          </w:p>
        </w:tc>
        <w:tc>
          <w:tcPr>
            <w:tcW w:type="dxa" w:w="1440"/>
          </w:tcPr>
          <w:p>
            <w:pPr>
              <w:jc w:val="center"/>
            </w:pPr>
            <w:r>
              <w:rPr>
                <w:rFonts w:ascii="Times New Roman" w:hAnsi="Times New Roman"/>
                <w:b w:val="0"/>
                <w:i w:val="0"/>
                <w:sz w:val="18"/>
              </w:rPr>
              <w:t>18.9</w:t>
            </w:r>
          </w:p>
        </w:tc>
      </w:tr>
      <w:tr>
        <w:tc>
          <w:tcPr>
            <w:tcW w:type="dxa" w:w="3024"/>
          </w:tcPr>
          <w:p>
            <w:pPr>
              <w:jc w:val="left"/>
            </w:pPr>
            <w:r>
              <w:rPr>
                <w:rFonts w:ascii="Times New Roman" w:hAnsi="Times New Roman"/>
                <w:b w:val="0"/>
                <w:i w:val="0"/>
                <w:sz w:val="18"/>
              </w:rPr>
              <w:t>Maharashtra</w:t>
            </w:r>
          </w:p>
        </w:tc>
        <w:tc>
          <w:tcPr>
            <w:tcW w:type="dxa" w:w="1152"/>
          </w:tcPr>
          <w:p>
            <w:pPr>
              <w:jc w:val="center"/>
            </w:pPr>
            <w:r>
              <w:rPr>
                <w:rFonts w:ascii="Times New Roman" w:hAnsi="Times New Roman"/>
                <w:b w:val="0"/>
                <w:i w:val="0"/>
                <w:sz w:val="18"/>
              </w:rPr>
              <w:t>3180</w:t>
            </w:r>
          </w:p>
        </w:tc>
        <w:tc>
          <w:tcPr>
            <w:tcW w:type="dxa" w:w="1296"/>
          </w:tcPr>
          <w:p>
            <w:pPr>
              <w:jc w:val="center"/>
            </w:pPr>
            <w:r>
              <w:rPr>
                <w:rFonts w:ascii="Times New Roman" w:hAnsi="Times New Roman"/>
                <w:b w:val="0"/>
                <w:i w:val="0"/>
                <w:sz w:val="18"/>
              </w:rPr>
              <w:t>71147</w:t>
            </w:r>
          </w:p>
        </w:tc>
        <w:tc>
          <w:tcPr>
            <w:tcW w:type="dxa" w:w="1152"/>
          </w:tcPr>
          <w:p>
            <w:pPr>
              <w:jc w:val="center"/>
            </w:pPr>
            <w:r>
              <w:rPr>
                <w:rFonts w:ascii="Times New Roman" w:hAnsi="Times New Roman"/>
                <w:b w:val="0"/>
                <w:i w:val="0"/>
                <w:sz w:val="18"/>
              </w:rPr>
              <w:t>56.7</w:t>
            </w:r>
          </w:p>
        </w:tc>
        <w:tc>
          <w:tcPr>
            <w:tcW w:type="dxa" w:w="1152"/>
          </w:tcPr>
          <w:p>
            <w:pPr>
              <w:jc w:val="center"/>
            </w:pPr>
            <w:r>
              <w:rPr>
                <w:rFonts w:ascii="Times New Roman" w:hAnsi="Times New Roman"/>
                <w:b w:val="0"/>
                <w:i w:val="0"/>
                <w:sz w:val="18"/>
              </w:rPr>
              <w:t>858</w:t>
            </w:r>
          </w:p>
        </w:tc>
        <w:tc>
          <w:tcPr>
            <w:tcW w:type="dxa" w:w="1440"/>
          </w:tcPr>
          <w:p>
            <w:pPr>
              <w:jc w:val="center"/>
            </w:pPr>
            <w:r>
              <w:rPr>
                <w:rFonts w:ascii="Times New Roman" w:hAnsi="Times New Roman"/>
                <w:b w:val="0"/>
                <w:i w:val="0"/>
                <w:sz w:val="18"/>
              </w:rPr>
              <w:t>27.0</w:t>
            </w:r>
          </w:p>
        </w:tc>
      </w:tr>
      <w:tr>
        <w:tc>
          <w:tcPr>
            <w:tcW w:type="dxa" w:w="3024"/>
          </w:tcPr>
          <w:p>
            <w:pPr>
              <w:jc w:val="left"/>
            </w:pPr>
            <w:r>
              <w:rPr>
                <w:rFonts w:ascii="Times New Roman" w:hAnsi="Times New Roman"/>
                <w:b w:val="0"/>
                <w:i w:val="0"/>
                <w:sz w:val="18"/>
              </w:rPr>
              <w:t>Himachal Pradesh</w:t>
            </w:r>
          </w:p>
        </w:tc>
        <w:tc>
          <w:tcPr>
            <w:tcW w:type="dxa" w:w="1152"/>
          </w:tcPr>
          <w:p>
            <w:pPr>
              <w:jc w:val="center"/>
            </w:pPr>
            <w:r>
              <w:rPr>
                <w:rFonts w:ascii="Times New Roman" w:hAnsi="Times New Roman"/>
                <w:b w:val="0"/>
                <w:i w:val="0"/>
                <w:sz w:val="18"/>
              </w:rPr>
              <w:t>3162</w:t>
            </w:r>
          </w:p>
        </w:tc>
        <w:tc>
          <w:tcPr>
            <w:tcW w:type="dxa" w:w="1296"/>
          </w:tcPr>
          <w:p>
            <w:pPr>
              <w:jc w:val="center"/>
            </w:pPr>
            <w:r>
              <w:rPr>
                <w:rFonts w:ascii="Times New Roman" w:hAnsi="Times New Roman"/>
                <w:b w:val="0"/>
                <w:i w:val="0"/>
                <w:sz w:val="18"/>
              </w:rPr>
              <w:t>4452</w:t>
            </w:r>
          </w:p>
        </w:tc>
        <w:tc>
          <w:tcPr>
            <w:tcW w:type="dxa" w:w="1152"/>
          </w:tcPr>
          <w:p>
            <w:pPr>
              <w:jc w:val="center"/>
            </w:pPr>
            <w:r>
              <w:rPr>
                <w:rFonts w:ascii="Times New Roman" w:hAnsi="Times New Roman"/>
                <w:b w:val="0"/>
                <w:i w:val="0"/>
                <w:sz w:val="18"/>
              </w:rPr>
              <w:t>57.8</w:t>
            </w:r>
          </w:p>
        </w:tc>
        <w:tc>
          <w:tcPr>
            <w:tcW w:type="dxa" w:w="1152"/>
          </w:tcPr>
          <w:p>
            <w:pPr>
              <w:jc w:val="center"/>
            </w:pPr>
            <w:r>
              <w:rPr>
                <w:rFonts w:ascii="Times New Roman" w:hAnsi="Times New Roman"/>
                <w:b w:val="0"/>
                <w:i w:val="0"/>
                <w:sz w:val="18"/>
              </w:rPr>
              <w:t>870</w:t>
            </w:r>
          </w:p>
        </w:tc>
        <w:tc>
          <w:tcPr>
            <w:tcW w:type="dxa" w:w="1440"/>
          </w:tcPr>
          <w:p>
            <w:pPr>
              <w:jc w:val="center"/>
            </w:pPr>
            <w:r>
              <w:rPr>
                <w:rFonts w:ascii="Times New Roman" w:hAnsi="Times New Roman"/>
                <w:b w:val="0"/>
                <w:i w:val="0"/>
                <w:sz w:val="18"/>
              </w:rPr>
              <w:t>27.5</w:t>
            </w:r>
          </w:p>
        </w:tc>
      </w:tr>
      <w:tr>
        <w:tc>
          <w:tcPr>
            <w:tcW w:type="dxa" w:w="3024"/>
          </w:tcPr>
          <w:p>
            <w:pPr>
              <w:jc w:val="left"/>
            </w:pPr>
            <w:r>
              <w:rPr>
                <w:rFonts w:ascii="Times New Roman" w:hAnsi="Times New Roman"/>
                <w:b w:val="0"/>
                <w:i w:val="0"/>
                <w:sz w:val="18"/>
              </w:rPr>
              <w:t>Meghalaya</w:t>
            </w:r>
          </w:p>
        </w:tc>
        <w:tc>
          <w:tcPr>
            <w:tcW w:type="dxa" w:w="1152"/>
          </w:tcPr>
          <w:p>
            <w:pPr>
              <w:jc w:val="center"/>
            </w:pPr>
            <w:r>
              <w:rPr>
                <w:rFonts w:ascii="Times New Roman" w:hAnsi="Times New Roman"/>
                <w:b w:val="0"/>
                <w:i w:val="0"/>
                <w:sz w:val="18"/>
              </w:rPr>
              <w:t>3005</w:t>
            </w:r>
          </w:p>
        </w:tc>
        <w:tc>
          <w:tcPr>
            <w:tcW w:type="dxa" w:w="1296"/>
          </w:tcPr>
          <w:p>
            <w:pPr>
              <w:jc w:val="center"/>
            </w:pPr>
            <w:r>
              <w:rPr>
                <w:rFonts w:ascii="Times New Roman" w:hAnsi="Times New Roman"/>
                <w:b w:val="0"/>
                <w:i w:val="0"/>
                <w:sz w:val="18"/>
              </w:rPr>
              <w:t>1649</w:t>
            </w:r>
          </w:p>
        </w:tc>
        <w:tc>
          <w:tcPr>
            <w:tcW w:type="dxa" w:w="1152"/>
          </w:tcPr>
          <w:p>
            <w:pPr>
              <w:jc w:val="center"/>
            </w:pPr>
            <w:r>
              <w:rPr>
                <w:rFonts w:ascii="Times New Roman" w:hAnsi="Times New Roman"/>
                <w:b w:val="0"/>
                <w:i w:val="0"/>
                <w:sz w:val="18"/>
              </w:rPr>
              <w:t>46.9</w:t>
            </w:r>
          </w:p>
        </w:tc>
        <w:tc>
          <w:tcPr>
            <w:tcW w:type="dxa" w:w="1152"/>
          </w:tcPr>
          <w:p>
            <w:pPr>
              <w:jc w:val="center"/>
            </w:pPr>
            <w:r>
              <w:rPr>
                <w:rFonts w:ascii="Times New Roman" w:hAnsi="Times New Roman"/>
                <w:b w:val="0"/>
                <w:i w:val="0"/>
                <w:sz w:val="18"/>
              </w:rPr>
              <w:t>538</w:t>
            </w:r>
          </w:p>
        </w:tc>
        <w:tc>
          <w:tcPr>
            <w:tcW w:type="dxa" w:w="1440"/>
          </w:tcPr>
          <w:p>
            <w:pPr>
              <w:jc w:val="center"/>
            </w:pPr>
            <w:r>
              <w:rPr>
                <w:rFonts w:ascii="Times New Roman" w:hAnsi="Times New Roman"/>
                <w:b w:val="0"/>
                <w:i w:val="0"/>
                <w:sz w:val="18"/>
              </w:rPr>
              <w:t>17.9</w:t>
            </w:r>
          </w:p>
        </w:tc>
      </w:tr>
      <w:tr>
        <w:tc>
          <w:tcPr>
            <w:tcW w:type="dxa" w:w="3024"/>
          </w:tcPr>
          <w:p>
            <w:pPr>
              <w:jc w:val="left"/>
            </w:pPr>
            <w:r>
              <w:rPr>
                <w:rFonts w:ascii="Times New Roman" w:hAnsi="Times New Roman"/>
                <w:b w:val="0"/>
                <w:i w:val="0"/>
                <w:sz w:val="18"/>
              </w:rPr>
              <w:t>Jammu &amp; Kashmir and Ladakh</w:t>
            </w:r>
          </w:p>
        </w:tc>
        <w:tc>
          <w:tcPr>
            <w:tcW w:type="dxa" w:w="1152"/>
          </w:tcPr>
          <w:p>
            <w:pPr>
              <w:jc w:val="center"/>
            </w:pPr>
            <w:r>
              <w:rPr>
                <w:rFonts w:ascii="Times New Roman" w:hAnsi="Times New Roman"/>
                <w:b w:val="0"/>
                <w:i w:val="0"/>
                <w:sz w:val="18"/>
              </w:rPr>
              <w:t>2692</w:t>
            </w:r>
          </w:p>
        </w:tc>
        <w:tc>
          <w:tcPr>
            <w:tcW w:type="dxa" w:w="1296"/>
          </w:tcPr>
          <w:p>
            <w:pPr>
              <w:jc w:val="center"/>
            </w:pPr>
            <w:r>
              <w:rPr>
                <w:rFonts w:ascii="Times New Roman" w:hAnsi="Times New Roman"/>
                <w:b w:val="0"/>
                <w:i w:val="0"/>
                <w:sz w:val="18"/>
              </w:rPr>
              <w:t>6149</w:t>
            </w:r>
          </w:p>
        </w:tc>
        <w:tc>
          <w:tcPr>
            <w:tcW w:type="dxa" w:w="1152"/>
          </w:tcPr>
          <w:p>
            <w:pPr>
              <w:jc w:val="center"/>
            </w:pPr>
            <w:r>
              <w:rPr>
                <w:rFonts w:ascii="Times New Roman" w:hAnsi="Times New Roman"/>
                <w:b w:val="0"/>
                <w:i w:val="0"/>
                <w:sz w:val="18"/>
              </w:rPr>
              <w:t>43.7</w:t>
            </w:r>
          </w:p>
        </w:tc>
        <w:tc>
          <w:tcPr>
            <w:tcW w:type="dxa" w:w="1152"/>
          </w:tcPr>
          <w:p>
            <w:pPr>
              <w:jc w:val="center"/>
            </w:pPr>
            <w:r>
              <w:rPr>
                <w:rFonts w:ascii="Times New Roman" w:hAnsi="Times New Roman"/>
                <w:b w:val="0"/>
                <w:i w:val="0"/>
                <w:sz w:val="18"/>
              </w:rPr>
              <w:t>756</w:t>
            </w:r>
          </w:p>
        </w:tc>
        <w:tc>
          <w:tcPr>
            <w:tcW w:type="dxa" w:w="1440"/>
          </w:tcPr>
          <w:p>
            <w:pPr>
              <w:jc w:val="center"/>
            </w:pPr>
            <w:r>
              <w:rPr>
                <w:rFonts w:ascii="Times New Roman" w:hAnsi="Times New Roman"/>
                <w:b w:val="0"/>
                <w:i w:val="0"/>
                <w:sz w:val="18"/>
              </w:rPr>
              <w:t>28.1</w:t>
            </w:r>
          </w:p>
        </w:tc>
      </w:tr>
      <w:tr>
        <w:tc>
          <w:tcPr>
            <w:tcW w:type="dxa" w:w="3024"/>
          </w:tcPr>
          <w:p>
            <w:pPr>
              <w:jc w:val="left"/>
            </w:pPr>
            <w:r>
              <w:rPr>
                <w:rFonts w:ascii="Times New Roman" w:hAnsi="Times New Roman"/>
                <w:b w:val="0"/>
                <w:i w:val="0"/>
                <w:sz w:val="18"/>
              </w:rPr>
              <w:t>Kerala</w:t>
            </w:r>
          </w:p>
        </w:tc>
        <w:tc>
          <w:tcPr>
            <w:tcW w:type="dxa" w:w="1152"/>
          </w:tcPr>
          <w:p>
            <w:pPr>
              <w:jc w:val="center"/>
            </w:pPr>
            <w:r>
              <w:rPr>
                <w:rFonts w:ascii="Times New Roman" w:hAnsi="Times New Roman"/>
                <w:b w:val="0"/>
                <w:i w:val="0"/>
                <w:sz w:val="18"/>
              </w:rPr>
              <w:t>2678</w:t>
            </w:r>
          </w:p>
        </w:tc>
        <w:tc>
          <w:tcPr>
            <w:tcW w:type="dxa" w:w="1296"/>
          </w:tcPr>
          <w:p>
            <w:pPr>
              <w:jc w:val="center"/>
            </w:pPr>
            <w:r>
              <w:rPr>
                <w:rFonts w:ascii="Times New Roman" w:hAnsi="Times New Roman"/>
                <w:b w:val="0"/>
                <w:i w:val="0"/>
                <w:sz w:val="18"/>
              </w:rPr>
              <w:t>18827</w:t>
            </w:r>
          </w:p>
        </w:tc>
        <w:tc>
          <w:tcPr>
            <w:tcW w:type="dxa" w:w="1152"/>
          </w:tcPr>
          <w:p>
            <w:pPr>
              <w:jc w:val="center"/>
            </w:pPr>
            <w:r>
              <w:rPr>
                <w:rFonts w:ascii="Times New Roman" w:hAnsi="Times New Roman"/>
                <w:b w:val="0"/>
                <w:i w:val="0"/>
                <w:sz w:val="18"/>
              </w:rPr>
              <w:t>53.4</w:t>
            </w:r>
          </w:p>
        </w:tc>
        <w:tc>
          <w:tcPr>
            <w:tcW w:type="dxa" w:w="1152"/>
          </w:tcPr>
          <w:p>
            <w:pPr>
              <w:jc w:val="center"/>
            </w:pPr>
            <w:r>
              <w:rPr>
                <w:rFonts w:ascii="Times New Roman" w:hAnsi="Times New Roman"/>
                <w:b w:val="0"/>
                <w:i w:val="0"/>
                <w:sz w:val="18"/>
              </w:rPr>
              <w:t>836</w:t>
            </w:r>
          </w:p>
        </w:tc>
        <w:tc>
          <w:tcPr>
            <w:tcW w:type="dxa" w:w="1440"/>
          </w:tcPr>
          <w:p>
            <w:pPr>
              <w:jc w:val="center"/>
            </w:pPr>
            <w:r>
              <w:rPr>
                <w:rFonts w:ascii="Times New Roman" w:hAnsi="Times New Roman"/>
                <w:b w:val="0"/>
                <w:i w:val="0"/>
                <w:sz w:val="18"/>
              </w:rPr>
              <w:t>31.2</w:t>
            </w:r>
          </w:p>
        </w:tc>
      </w:tr>
      <w:tr>
        <w:tc>
          <w:tcPr>
            <w:tcW w:type="dxa" w:w="3024"/>
          </w:tcPr>
          <w:p>
            <w:pPr>
              <w:jc w:val="left"/>
            </w:pPr>
            <w:r>
              <w:rPr>
                <w:rFonts w:ascii="Times New Roman" w:hAnsi="Times New Roman"/>
                <w:b w:val="0"/>
                <w:i w:val="0"/>
                <w:sz w:val="18"/>
              </w:rPr>
              <w:t>Sikkim</w:t>
            </w:r>
          </w:p>
        </w:tc>
        <w:tc>
          <w:tcPr>
            <w:tcW w:type="dxa" w:w="1152"/>
          </w:tcPr>
          <w:p>
            <w:pPr>
              <w:jc w:val="center"/>
            </w:pPr>
            <w:r>
              <w:rPr>
                <w:rFonts w:ascii="Times New Roman" w:hAnsi="Times New Roman"/>
                <w:b w:val="0"/>
                <w:i w:val="0"/>
                <w:sz w:val="18"/>
              </w:rPr>
              <w:t>2655</w:t>
            </w:r>
          </w:p>
        </w:tc>
        <w:tc>
          <w:tcPr>
            <w:tcW w:type="dxa" w:w="1296"/>
          </w:tcPr>
          <w:p>
            <w:pPr>
              <w:jc w:val="center"/>
            </w:pPr>
            <w:r>
              <w:rPr>
                <w:rFonts w:ascii="Times New Roman" w:hAnsi="Times New Roman"/>
                <w:b w:val="0"/>
                <w:i w:val="0"/>
                <w:sz w:val="18"/>
              </w:rPr>
              <w:t>283</w:t>
            </w:r>
          </w:p>
        </w:tc>
        <w:tc>
          <w:tcPr>
            <w:tcW w:type="dxa" w:w="1152"/>
          </w:tcPr>
          <w:p>
            <w:pPr>
              <w:jc w:val="center"/>
            </w:pPr>
            <w:r>
              <w:rPr>
                <w:rFonts w:ascii="Times New Roman" w:hAnsi="Times New Roman"/>
                <w:b w:val="0"/>
                <w:i w:val="0"/>
                <w:sz w:val="18"/>
              </w:rPr>
              <w:t>40.7</w:t>
            </w:r>
          </w:p>
        </w:tc>
        <w:tc>
          <w:tcPr>
            <w:tcW w:type="dxa" w:w="1152"/>
          </w:tcPr>
          <w:p>
            <w:pPr>
              <w:jc w:val="center"/>
            </w:pPr>
            <w:r>
              <w:rPr>
                <w:rFonts w:ascii="Times New Roman" w:hAnsi="Times New Roman"/>
                <w:b w:val="0"/>
                <w:i w:val="0"/>
                <w:sz w:val="18"/>
              </w:rPr>
              <w:t>727</w:t>
            </w:r>
          </w:p>
        </w:tc>
        <w:tc>
          <w:tcPr>
            <w:tcW w:type="dxa" w:w="1440"/>
          </w:tcPr>
          <w:p>
            <w:pPr>
              <w:jc w:val="center"/>
            </w:pPr>
            <w:r>
              <w:rPr>
                <w:rFonts w:ascii="Times New Roman" w:hAnsi="Times New Roman"/>
                <w:b w:val="0"/>
                <w:i w:val="0"/>
                <w:sz w:val="18"/>
              </w:rPr>
              <w:t>27.4</w:t>
            </w:r>
          </w:p>
        </w:tc>
      </w:tr>
      <w:tr>
        <w:tc>
          <w:tcPr>
            <w:tcW w:type="dxa" w:w="3024"/>
          </w:tcPr>
          <w:p>
            <w:pPr>
              <w:jc w:val="left"/>
            </w:pPr>
            <w:r>
              <w:rPr>
                <w:rFonts w:ascii="Times New Roman" w:hAnsi="Times New Roman"/>
                <w:b w:val="0"/>
                <w:i w:val="0"/>
                <w:sz w:val="18"/>
              </w:rPr>
              <w:t>Mizoram</w:t>
            </w:r>
          </w:p>
        </w:tc>
        <w:tc>
          <w:tcPr>
            <w:tcW w:type="dxa" w:w="1152"/>
          </w:tcPr>
          <w:p>
            <w:pPr>
              <w:jc w:val="center"/>
            </w:pPr>
            <w:r>
              <w:rPr>
                <w:rFonts w:ascii="Times New Roman" w:hAnsi="Times New Roman"/>
                <w:b w:val="0"/>
                <w:i w:val="0"/>
                <w:sz w:val="18"/>
              </w:rPr>
              <w:t>2360</w:t>
            </w:r>
          </w:p>
        </w:tc>
        <w:tc>
          <w:tcPr>
            <w:tcW w:type="dxa" w:w="1296"/>
          </w:tcPr>
          <w:p>
            <w:pPr>
              <w:jc w:val="center"/>
            </w:pPr>
            <w:r>
              <w:rPr>
                <w:rFonts w:ascii="Times New Roman" w:hAnsi="Times New Roman"/>
                <w:b w:val="0"/>
                <w:i w:val="0"/>
                <w:sz w:val="18"/>
              </w:rPr>
              <w:t>481</w:t>
            </w:r>
          </w:p>
        </w:tc>
        <w:tc>
          <w:tcPr>
            <w:tcW w:type="dxa" w:w="1152"/>
          </w:tcPr>
          <w:p>
            <w:pPr>
              <w:jc w:val="center"/>
            </w:pPr>
            <w:r>
              <w:rPr>
                <w:rFonts w:ascii="Times New Roman" w:hAnsi="Times New Roman"/>
                <w:b w:val="0"/>
                <w:i w:val="0"/>
                <w:sz w:val="18"/>
              </w:rPr>
              <w:t>38.1</w:t>
            </w:r>
          </w:p>
        </w:tc>
        <w:tc>
          <w:tcPr>
            <w:tcW w:type="dxa" w:w="1152"/>
          </w:tcPr>
          <w:p>
            <w:pPr>
              <w:jc w:val="center"/>
            </w:pPr>
            <w:r>
              <w:rPr>
                <w:rFonts w:ascii="Times New Roman" w:hAnsi="Times New Roman"/>
                <w:b w:val="0"/>
                <w:i w:val="0"/>
                <w:sz w:val="18"/>
              </w:rPr>
              <w:t>581</w:t>
            </w:r>
          </w:p>
        </w:tc>
        <w:tc>
          <w:tcPr>
            <w:tcW w:type="dxa" w:w="1440"/>
          </w:tcPr>
          <w:p>
            <w:pPr>
              <w:jc w:val="center"/>
            </w:pPr>
            <w:r>
              <w:rPr>
                <w:rFonts w:ascii="Times New Roman" w:hAnsi="Times New Roman"/>
                <w:b w:val="0"/>
                <w:i w:val="0"/>
                <w:sz w:val="18"/>
              </w:rPr>
              <w:t>24.6</w:t>
            </w:r>
          </w:p>
        </w:tc>
      </w:tr>
      <w:tr>
        <w:tc>
          <w:tcPr>
            <w:tcW w:type="dxa" w:w="3024"/>
          </w:tcPr>
          <w:p>
            <w:pPr>
              <w:jc w:val="left"/>
            </w:pPr>
            <w:r>
              <w:rPr>
                <w:rFonts w:ascii="Times New Roman" w:hAnsi="Times New Roman"/>
                <w:b w:val="0"/>
                <w:i w:val="0"/>
                <w:sz w:val="18"/>
              </w:rPr>
              <w:t>Delhi</w:t>
            </w:r>
          </w:p>
        </w:tc>
        <w:tc>
          <w:tcPr>
            <w:tcW w:type="dxa" w:w="1152"/>
          </w:tcPr>
          <w:p>
            <w:pPr>
              <w:jc w:val="center"/>
            </w:pPr>
            <w:r>
              <w:rPr>
                <w:rFonts w:ascii="Times New Roman" w:hAnsi="Times New Roman"/>
                <w:b w:val="0"/>
                <w:i w:val="0"/>
                <w:sz w:val="18"/>
              </w:rPr>
              <w:t>2296</w:t>
            </w:r>
          </w:p>
        </w:tc>
        <w:tc>
          <w:tcPr>
            <w:tcW w:type="dxa" w:w="1296"/>
          </w:tcPr>
          <w:p>
            <w:pPr>
              <w:jc w:val="center"/>
            </w:pPr>
            <w:r>
              <w:rPr>
                <w:rFonts w:ascii="Times New Roman" w:hAnsi="Times New Roman"/>
                <w:b w:val="0"/>
                <w:i w:val="0"/>
                <w:sz w:val="18"/>
              </w:rPr>
              <w:t>8307</w:t>
            </w:r>
          </w:p>
        </w:tc>
        <w:tc>
          <w:tcPr>
            <w:tcW w:type="dxa" w:w="1152"/>
          </w:tcPr>
          <w:p>
            <w:pPr>
              <w:jc w:val="center"/>
            </w:pPr>
            <w:r>
              <w:rPr>
                <w:rFonts w:ascii="Times New Roman" w:hAnsi="Times New Roman"/>
                <w:b w:val="0"/>
                <w:i w:val="0"/>
                <w:sz w:val="18"/>
              </w:rPr>
              <w:t>41.8</w:t>
            </w:r>
          </w:p>
        </w:tc>
        <w:tc>
          <w:tcPr>
            <w:tcW w:type="dxa" w:w="1152"/>
          </w:tcPr>
          <w:p>
            <w:pPr>
              <w:jc w:val="center"/>
            </w:pPr>
            <w:r>
              <w:rPr>
                <w:rFonts w:ascii="Times New Roman" w:hAnsi="Times New Roman"/>
                <w:b w:val="0"/>
                <w:i w:val="0"/>
                <w:sz w:val="18"/>
              </w:rPr>
              <w:t>582</w:t>
            </w:r>
          </w:p>
        </w:tc>
        <w:tc>
          <w:tcPr>
            <w:tcW w:type="dxa" w:w="1440"/>
          </w:tcPr>
          <w:p>
            <w:pPr>
              <w:jc w:val="center"/>
            </w:pPr>
            <w:r>
              <w:rPr>
                <w:rFonts w:ascii="Times New Roman" w:hAnsi="Times New Roman"/>
                <w:b w:val="0"/>
                <w:i w:val="0"/>
                <w:sz w:val="18"/>
              </w:rPr>
              <w:t>25.3</w:t>
            </w:r>
          </w:p>
        </w:tc>
      </w:tr>
    </w:tbl>
    <w:p>
      <w:pPr>
        <w:spacing w:before="0" w:after="120"/>
        <w:jc w:val="left"/>
      </w:pPr>
      <w:r>
        <w:rPr>
          <w:rFonts w:ascii="Times New Roman" w:hAnsi="Times New Roman"/>
          <w:b w:val="0"/>
          <w:i/>
          <w:sz w:val="18"/>
        </w:rPr>
        <w:t>Rates are per 100,000 population. YLD fraction = YLDs divided by DALYs.</w:t>
      </w:r>
    </w:p>
    <w:p>
      <w:pPr>
        <w:spacing w:before="160" w:after="80"/>
      </w:pPr>
      <w:r>
        <w:rPr>
          <w:rFonts w:ascii="Times New Roman" w:hAnsi="Times New Roman"/>
          <w:b/>
          <w:i w:val="0"/>
          <w:sz w:val="22"/>
        </w:rPr>
        <w:t>Table 2. Cause-specific YLD fractions: median across states, 2021.</w:t>
      </w:r>
    </w:p>
    <w:tbl>
      <w:tblPr>
        <w:tblStyle w:val="TableGrid"/>
        <w:tblW w:type="auto" w:w="0"/>
        <w:tblLook w:firstColumn="1" w:firstRow="1" w:lastColumn="0" w:lastRow="0" w:noHBand="0" w:noVBand="1" w:val="04A0"/>
      </w:tblPr>
      <w:tblGrid>
        <w:gridCol w:w="4680"/>
        <w:gridCol w:w="4680"/>
      </w:tblGrid>
      <w:tr>
        <w:tc>
          <w:tcPr>
            <w:tcW w:type="dxa" w:w="4032"/>
            <w:shd w:fill="D9EAF7"/>
          </w:tcPr>
          <w:p>
            <w:pPr>
              <w:jc w:val="center"/>
            </w:pPr>
            <w:r>
              <w:rPr>
                <w:rFonts w:ascii="Times New Roman" w:hAnsi="Times New Roman"/>
                <w:b/>
                <w:i w:val="0"/>
                <w:sz w:val="18"/>
              </w:rPr>
              <w:t>Cause group</w:t>
            </w:r>
          </w:p>
        </w:tc>
        <w:tc>
          <w:tcPr>
            <w:tcW w:type="dxa" w:w="1872"/>
            <w:shd w:fill="D9EAF7"/>
          </w:tcPr>
          <w:p>
            <w:pPr>
              <w:jc w:val="center"/>
            </w:pPr>
            <w:r>
              <w:rPr>
                <w:rFonts w:ascii="Times New Roman" w:hAnsi="Times New Roman"/>
                <w:b/>
                <w:i w:val="0"/>
                <w:sz w:val="18"/>
              </w:rPr>
              <w:t>Median YLD fraction (%)</w:t>
            </w:r>
          </w:p>
        </w:tc>
      </w:tr>
      <w:tr>
        <w:tc>
          <w:tcPr>
            <w:tcW w:type="dxa" w:w="4032"/>
          </w:tcPr>
          <w:p>
            <w:pPr>
              <w:jc w:val="left"/>
            </w:pPr>
            <w:r>
              <w:rPr>
                <w:rFonts w:ascii="Times New Roman" w:hAnsi="Times New Roman"/>
                <w:b w:val="0"/>
                <w:i w:val="0"/>
                <w:sz w:val="18"/>
              </w:rPr>
              <w:t>Falls</w:t>
            </w:r>
          </w:p>
        </w:tc>
        <w:tc>
          <w:tcPr>
            <w:tcW w:type="dxa" w:w="1872"/>
          </w:tcPr>
          <w:p>
            <w:pPr>
              <w:jc w:val="center"/>
            </w:pPr>
            <w:r>
              <w:rPr>
                <w:rFonts w:ascii="Times New Roman" w:hAnsi="Times New Roman"/>
                <w:b w:val="0"/>
                <w:i w:val="0"/>
                <w:sz w:val="18"/>
              </w:rPr>
              <w:t>51.0</w:t>
            </w:r>
          </w:p>
        </w:tc>
      </w:tr>
      <w:tr>
        <w:tc>
          <w:tcPr>
            <w:tcW w:type="dxa" w:w="4032"/>
          </w:tcPr>
          <w:p>
            <w:pPr>
              <w:jc w:val="left"/>
            </w:pPr>
            <w:r>
              <w:rPr>
                <w:rFonts w:ascii="Times New Roman" w:hAnsi="Times New Roman"/>
                <w:b w:val="0"/>
                <w:i w:val="0"/>
                <w:sz w:val="18"/>
              </w:rPr>
              <w:t>Other unintentional injuries</w:t>
            </w:r>
          </w:p>
        </w:tc>
        <w:tc>
          <w:tcPr>
            <w:tcW w:type="dxa" w:w="1872"/>
          </w:tcPr>
          <w:p>
            <w:pPr>
              <w:jc w:val="center"/>
            </w:pPr>
            <w:r>
              <w:rPr>
                <w:rFonts w:ascii="Times New Roman" w:hAnsi="Times New Roman"/>
                <w:b w:val="0"/>
                <w:i w:val="0"/>
                <w:sz w:val="18"/>
              </w:rPr>
              <w:t>34.6</w:t>
            </w:r>
          </w:p>
        </w:tc>
      </w:tr>
      <w:tr>
        <w:tc>
          <w:tcPr>
            <w:tcW w:type="dxa" w:w="4032"/>
          </w:tcPr>
          <w:p>
            <w:pPr>
              <w:jc w:val="left"/>
            </w:pPr>
            <w:r>
              <w:rPr>
                <w:rFonts w:ascii="Times New Roman" w:hAnsi="Times New Roman"/>
                <w:b w:val="0"/>
                <w:i w:val="0"/>
                <w:sz w:val="18"/>
              </w:rPr>
              <w:t>Burns</w:t>
            </w:r>
          </w:p>
        </w:tc>
        <w:tc>
          <w:tcPr>
            <w:tcW w:type="dxa" w:w="1872"/>
          </w:tcPr>
          <w:p>
            <w:pPr>
              <w:jc w:val="center"/>
            </w:pPr>
            <w:r>
              <w:rPr>
                <w:rFonts w:ascii="Times New Roman" w:hAnsi="Times New Roman"/>
                <w:b w:val="0"/>
                <w:i w:val="0"/>
                <w:sz w:val="18"/>
              </w:rPr>
              <w:t>22.1</w:t>
            </w:r>
          </w:p>
        </w:tc>
      </w:tr>
      <w:tr>
        <w:tc>
          <w:tcPr>
            <w:tcW w:type="dxa" w:w="4032"/>
          </w:tcPr>
          <w:p>
            <w:pPr>
              <w:jc w:val="left"/>
            </w:pPr>
            <w:r>
              <w:rPr>
                <w:rFonts w:ascii="Times New Roman" w:hAnsi="Times New Roman"/>
                <w:b w:val="0"/>
                <w:i w:val="0"/>
                <w:sz w:val="18"/>
              </w:rPr>
              <w:t>All injuries</w:t>
            </w:r>
          </w:p>
        </w:tc>
        <w:tc>
          <w:tcPr>
            <w:tcW w:type="dxa" w:w="1872"/>
          </w:tcPr>
          <w:p>
            <w:pPr>
              <w:jc w:val="center"/>
            </w:pPr>
            <w:r>
              <w:rPr>
                <w:rFonts w:ascii="Times New Roman" w:hAnsi="Times New Roman"/>
                <w:b w:val="0"/>
                <w:i w:val="0"/>
                <w:sz w:val="18"/>
              </w:rPr>
              <w:t>18.9</w:t>
            </w:r>
          </w:p>
        </w:tc>
      </w:tr>
      <w:tr>
        <w:tc>
          <w:tcPr>
            <w:tcW w:type="dxa" w:w="4032"/>
          </w:tcPr>
          <w:p>
            <w:pPr>
              <w:jc w:val="left"/>
            </w:pPr>
            <w:r>
              <w:rPr>
                <w:rFonts w:ascii="Times New Roman" w:hAnsi="Times New Roman"/>
                <w:b w:val="0"/>
                <w:i w:val="0"/>
                <w:sz w:val="18"/>
              </w:rPr>
              <w:t>Road injuries</w:t>
            </w:r>
          </w:p>
        </w:tc>
        <w:tc>
          <w:tcPr>
            <w:tcW w:type="dxa" w:w="1872"/>
          </w:tcPr>
          <w:p>
            <w:pPr>
              <w:jc w:val="center"/>
            </w:pPr>
            <w:r>
              <w:rPr>
                <w:rFonts w:ascii="Times New Roman" w:hAnsi="Times New Roman"/>
                <w:b w:val="0"/>
                <w:i w:val="0"/>
                <w:sz w:val="18"/>
              </w:rPr>
              <w:t>5.7</w:t>
            </w:r>
          </w:p>
        </w:tc>
      </w:tr>
      <w:tr>
        <w:tc>
          <w:tcPr>
            <w:tcW w:type="dxa" w:w="4032"/>
          </w:tcPr>
          <w:p>
            <w:pPr>
              <w:jc w:val="left"/>
            </w:pPr>
            <w:r>
              <w:rPr>
                <w:rFonts w:ascii="Times New Roman" w:hAnsi="Times New Roman"/>
                <w:b w:val="0"/>
                <w:i w:val="0"/>
                <w:sz w:val="18"/>
              </w:rPr>
              <w:t>Poisoning</w:t>
            </w:r>
          </w:p>
        </w:tc>
        <w:tc>
          <w:tcPr>
            <w:tcW w:type="dxa" w:w="1872"/>
          </w:tcPr>
          <w:p>
            <w:pPr>
              <w:jc w:val="center"/>
            </w:pPr>
            <w:r>
              <w:rPr>
                <w:rFonts w:ascii="Times New Roman" w:hAnsi="Times New Roman"/>
                <w:b w:val="0"/>
                <w:i w:val="0"/>
                <w:sz w:val="18"/>
              </w:rPr>
              <w:t>4.4</w:t>
            </w:r>
          </w:p>
        </w:tc>
      </w:tr>
      <w:tr>
        <w:tc>
          <w:tcPr>
            <w:tcW w:type="dxa" w:w="4032"/>
          </w:tcPr>
          <w:p>
            <w:pPr>
              <w:jc w:val="left"/>
            </w:pPr>
            <w:r>
              <w:rPr>
                <w:rFonts w:ascii="Times New Roman" w:hAnsi="Times New Roman"/>
                <w:b w:val="0"/>
                <w:i w:val="0"/>
                <w:sz w:val="18"/>
              </w:rPr>
              <w:t>Self-harm</w:t>
            </w:r>
          </w:p>
        </w:tc>
        <w:tc>
          <w:tcPr>
            <w:tcW w:type="dxa" w:w="1872"/>
          </w:tcPr>
          <w:p>
            <w:pPr>
              <w:jc w:val="center"/>
            </w:pPr>
            <w:r>
              <w:rPr>
                <w:rFonts w:ascii="Times New Roman" w:hAnsi="Times New Roman"/>
                <w:b w:val="0"/>
                <w:i w:val="0"/>
                <w:sz w:val="18"/>
              </w:rPr>
              <w:t>2.6</w:t>
            </w:r>
          </w:p>
        </w:tc>
      </w:tr>
      <w:tr>
        <w:tc>
          <w:tcPr>
            <w:tcW w:type="dxa" w:w="4032"/>
          </w:tcPr>
          <w:p>
            <w:pPr>
              <w:jc w:val="left"/>
            </w:pPr>
            <w:r>
              <w:rPr>
                <w:rFonts w:ascii="Times New Roman" w:hAnsi="Times New Roman"/>
                <w:b w:val="0"/>
                <w:i w:val="0"/>
                <w:sz w:val="18"/>
              </w:rPr>
              <w:t>Drowning</w:t>
            </w:r>
          </w:p>
        </w:tc>
        <w:tc>
          <w:tcPr>
            <w:tcW w:type="dxa" w:w="1872"/>
          </w:tcPr>
          <w:p>
            <w:pPr>
              <w:jc w:val="center"/>
            </w:pPr>
            <w:r>
              <w:rPr>
                <w:rFonts w:ascii="Times New Roman" w:hAnsi="Times New Roman"/>
                <w:b w:val="0"/>
                <w:i w:val="0"/>
                <w:sz w:val="18"/>
              </w:rPr>
              <w:t>0.6</w:t>
            </w:r>
          </w:p>
        </w:tc>
      </w:tr>
    </w:tbl>
    <w:p>
      <w:pPr>
        <w:spacing w:before="0" w:after="120"/>
        <w:jc w:val="left"/>
      </w:pPr>
      <w:r>
        <w:rPr>
          <w:rFonts w:ascii="Times New Roman" w:hAnsi="Times New Roman"/>
          <w:b w:val="0"/>
          <w:i/>
          <w:sz w:val="18"/>
        </w:rPr>
        <w:t>Higher values indicate a larger contribution of disability to total DALYs for that cause.</w:t>
      </w:r>
    </w:p>
    <w:p>
      <w:pPr>
        <w:spacing w:before="160" w:after="80"/>
      </w:pPr>
      <w:r>
        <w:rPr>
          <w:rFonts w:ascii="Times New Roman" w:hAnsi="Times New Roman"/>
          <w:b/>
          <w:i w:val="0"/>
          <w:sz w:val="22"/>
        </w:rPr>
        <w:t>Table 3. Hidden Disability Burden Index (HDBI) by state, 2021.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fill="D9EAF7"/>
          </w:tcPr>
          <w:p>
            <w:pPr>
              <w:jc w:val="center"/>
            </w:pPr>
            <w:r>
              <w:rPr>
                <w:rFonts w:ascii="Times New Roman" w:hAnsi="Times New Roman"/>
                <w:b/>
                <w:i w:val="0"/>
                <w:sz w:val="18"/>
              </w:rPr>
              <w:t>State/UT</w:t>
            </w:r>
          </w:p>
        </w:tc>
        <w:tc>
          <w:tcPr>
            <w:tcW w:type="dxa" w:w="1152"/>
            <w:shd w:fill="D9EAF7"/>
          </w:tcPr>
          <w:p>
            <w:pPr>
              <w:jc w:val="center"/>
            </w:pPr>
            <w:r>
              <w:rPr>
                <w:rFonts w:ascii="Times New Roman" w:hAnsi="Times New Roman"/>
                <w:b/>
                <w:i w:val="0"/>
                <w:sz w:val="18"/>
              </w:rPr>
              <w:t>YLD rate</w:t>
            </w:r>
          </w:p>
        </w:tc>
        <w:tc>
          <w:tcPr>
            <w:tcW w:type="dxa" w:w="1152"/>
            <w:shd w:fill="D9EAF7"/>
          </w:tcPr>
          <w:p>
            <w:pPr>
              <w:jc w:val="center"/>
            </w:pPr>
            <w:r>
              <w:rPr>
                <w:rFonts w:ascii="Times New Roman" w:hAnsi="Times New Roman"/>
                <w:b/>
                <w:i w:val="0"/>
                <w:sz w:val="18"/>
              </w:rPr>
              <w:t>Death rate</w:t>
            </w:r>
          </w:p>
        </w:tc>
        <w:tc>
          <w:tcPr>
            <w:tcW w:type="dxa" w:w="1296"/>
            <w:shd w:fill="D9EAF7"/>
          </w:tcPr>
          <w:p>
            <w:pPr>
              <w:jc w:val="center"/>
            </w:pPr>
            <w:r>
              <w:rPr>
                <w:rFonts w:ascii="Times New Roman" w:hAnsi="Times New Roman"/>
                <w:b/>
                <w:i w:val="0"/>
                <w:sz w:val="18"/>
              </w:rPr>
              <w:t>HDBI z-score</w:t>
            </w:r>
          </w:p>
        </w:tc>
        <w:tc>
          <w:tcPr>
            <w:tcW w:type="dxa" w:w="2160"/>
            <w:shd w:fill="D9EAF7"/>
          </w:tcPr>
          <w:p>
            <w:pPr>
              <w:jc w:val="center"/>
            </w:pPr>
            <w:r>
              <w:rPr>
                <w:rFonts w:ascii="Times New Roman" w:hAnsi="Times New Roman"/>
                <w:b/>
                <w:i w:val="0"/>
                <w:sz w:val="18"/>
              </w:rPr>
              <w:t>Profile</w:t>
            </w:r>
          </w:p>
        </w:tc>
      </w:tr>
      <w:tr>
        <w:tc>
          <w:tcPr>
            <w:tcW w:type="dxa" w:w="3024"/>
          </w:tcPr>
          <w:p>
            <w:pPr>
              <w:jc w:val="left"/>
            </w:pPr>
            <w:r>
              <w:rPr>
                <w:rFonts w:ascii="Times New Roman" w:hAnsi="Times New Roman"/>
                <w:b w:val="0"/>
                <w:i w:val="0"/>
                <w:sz w:val="18"/>
              </w:rPr>
              <w:t>Tamil Nadu</w:t>
            </w:r>
          </w:p>
        </w:tc>
        <w:tc>
          <w:tcPr>
            <w:tcW w:type="dxa" w:w="1152"/>
          </w:tcPr>
          <w:p>
            <w:pPr>
              <w:jc w:val="center"/>
            </w:pPr>
            <w:r>
              <w:rPr>
                <w:rFonts w:ascii="Times New Roman" w:hAnsi="Times New Roman"/>
                <w:b w:val="0"/>
                <w:i w:val="0"/>
                <w:sz w:val="18"/>
              </w:rPr>
              <w:t>1042</w:t>
            </w:r>
          </w:p>
        </w:tc>
        <w:tc>
          <w:tcPr>
            <w:tcW w:type="dxa" w:w="1152"/>
          </w:tcPr>
          <w:p>
            <w:pPr>
              <w:jc w:val="center"/>
            </w:pPr>
            <w:r>
              <w:rPr>
                <w:rFonts w:ascii="Times New Roman" w:hAnsi="Times New Roman"/>
                <w:b w:val="0"/>
                <w:i w:val="0"/>
                <w:sz w:val="18"/>
              </w:rPr>
              <w:t>84.0</w:t>
            </w:r>
          </w:p>
        </w:tc>
        <w:tc>
          <w:tcPr>
            <w:tcW w:type="dxa" w:w="1296"/>
          </w:tcPr>
          <w:p>
            <w:pPr>
              <w:jc w:val="center"/>
            </w:pPr>
            <w:r>
              <w:rPr>
                <w:rFonts w:ascii="Times New Roman" w:hAnsi="Times New Roman"/>
                <w:b w:val="0"/>
                <w:i w:val="0"/>
                <w:sz w:val="18"/>
              </w:rPr>
              <w:t>1.86</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Himachal Pradesh</w:t>
            </w:r>
          </w:p>
        </w:tc>
        <w:tc>
          <w:tcPr>
            <w:tcW w:type="dxa" w:w="1152"/>
          </w:tcPr>
          <w:p>
            <w:pPr>
              <w:jc w:val="center"/>
            </w:pPr>
            <w:r>
              <w:rPr>
                <w:rFonts w:ascii="Times New Roman" w:hAnsi="Times New Roman"/>
                <w:b w:val="0"/>
                <w:i w:val="0"/>
                <w:sz w:val="18"/>
              </w:rPr>
              <w:t>870</w:t>
            </w:r>
          </w:p>
        </w:tc>
        <w:tc>
          <w:tcPr>
            <w:tcW w:type="dxa" w:w="1152"/>
          </w:tcPr>
          <w:p>
            <w:pPr>
              <w:jc w:val="center"/>
            </w:pPr>
            <w:r>
              <w:rPr>
                <w:rFonts w:ascii="Times New Roman" w:hAnsi="Times New Roman"/>
                <w:b w:val="0"/>
                <w:i w:val="0"/>
                <w:sz w:val="18"/>
              </w:rPr>
              <w:t>57.8</w:t>
            </w:r>
          </w:p>
        </w:tc>
        <w:tc>
          <w:tcPr>
            <w:tcW w:type="dxa" w:w="1296"/>
          </w:tcPr>
          <w:p>
            <w:pPr>
              <w:jc w:val="center"/>
            </w:pPr>
            <w:r>
              <w:rPr>
                <w:rFonts w:ascii="Times New Roman" w:hAnsi="Times New Roman"/>
                <w:b w:val="0"/>
                <w:i w:val="0"/>
                <w:sz w:val="18"/>
              </w:rPr>
              <w:t>1.77</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Maharashtra</w:t>
            </w:r>
          </w:p>
        </w:tc>
        <w:tc>
          <w:tcPr>
            <w:tcW w:type="dxa" w:w="1152"/>
          </w:tcPr>
          <w:p>
            <w:pPr>
              <w:jc w:val="center"/>
            </w:pPr>
            <w:r>
              <w:rPr>
                <w:rFonts w:ascii="Times New Roman" w:hAnsi="Times New Roman"/>
                <w:b w:val="0"/>
                <w:i w:val="0"/>
                <w:sz w:val="18"/>
              </w:rPr>
              <w:t>858</w:t>
            </w:r>
          </w:p>
        </w:tc>
        <w:tc>
          <w:tcPr>
            <w:tcW w:type="dxa" w:w="1152"/>
          </w:tcPr>
          <w:p>
            <w:pPr>
              <w:jc w:val="center"/>
            </w:pPr>
            <w:r>
              <w:rPr>
                <w:rFonts w:ascii="Times New Roman" w:hAnsi="Times New Roman"/>
                <w:b w:val="0"/>
                <w:i w:val="0"/>
                <w:sz w:val="18"/>
              </w:rPr>
              <w:t>56.7</w:t>
            </w:r>
          </w:p>
        </w:tc>
        <w:tc>
          <w:tcPr>
            <w:tcW w:type="dxa" w:w="1296"/>
          </w:tcPr>
          <w:p>
            <w:pPr>
              <w:jc w:val="center"/>
            </w:pPr>
            <w:r>
              <w:rPr>
                <w:rFonts w:ascii="Times New Roman" w:hAnsi="Times New Roman"/>
                <w:b w:val="0"/>
                <w:i w:val="0"/>
                <w:sz w:val="18"/>
              </w:rPr>
              <w:t>1.73</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Kerala</w:t>
            </w:r>
          </w:p>
        </w:tc>
        <w:tc>
          <w:tcPr>
            <w:tcW w:type="dxa" w:w="1152"/>
          </w:tcPr>
          <w:p>
            <w:pPr>
              <w:jc w:val="center"/>
            </w:pPr>
            <w:r>
              <w:rPr>
                <w:rFonts w:ascii="Times New Roman" w:hAnsi="Times New Roman"/>
                <w:b w:val="0"/>
                <w:i w:val="0"/>
                <w:sz w:val="18"/>
              </w:rPr>
              <w:t>836</w:t>
            </w:r>
          </w:p>
        </w:tc>
        <w:tc>
          <w:tcPr>
            <w:tcW w:type="dxa" w:w="1152"/>
          </w:tcPr>
          <w:p>
            <w:pPr>
              <w:jc w:val="center"/>
            </w:pPr>
            <w:r>
              <w:rPr>
                <w:rFonts w:ascii="Times New Roman" w:hAnsi="Times New Roman"/>
                <w:b w:val="0"/>
                <w:i w:val="0"/>
                <w:sz w:val="18"/>
              </w:rPr>
              <w:t>53.4</w:t>
            </w:r>
          </w:p>
        </w:tc>
        <w:tc>
          <w:tcPr>
            <w:tcW w:type="dxa" w:w="1296"/>
          </w:tcPr>
          <w:p>
            <w:pPr>
              <w:jc w:val="center"/>
            </w:pPr>
            <w:r>
              <w:rPr>
                <w:rFonts w:ascii="Times New Roman" w:hAnsi="Times New Roman"/>
                <w:b w:val="0"/>
                <w:i w:val="0"/>
                <w:sz w:val="18"/>
              </w:rPr>
              <w:t>1.70</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Jammu &amp; Kashmir and Ladakh</w:t>
            </w:r>
          </w:p>
        </w:tc>
        <w:tc>
          <w:tcPr>
            <w:tcW w:type="dxa" w:w="1152"/>
          </w:tcPr>
          <w:p>
            <w:pPr>
              <w:jc w:val="center"/>
            </w:pPr>
            <w:r>
              <w:rPr>
                <w:rFonts w:ascii="Times New Roman" w:hAnsi="Times New Roman"/>
                <w:b w:val="0"/>
                <w:i w:val="0"/>
                <w:sz w:val="18"/>
              </w:rPr>
              <w:t>756</w:t>
            </w:r>
          </w:p>
        </w:tc>
        <w:tc>
          <w:tcPr>
            <w:tcW w:type="dxa" w:w="1152"/>
          </w:tcPr>
          <w:p>
            <w:pPr>
              <w:jc w:val="center"/>
            </w:pPr>
            <w:r>
              <w:rPr>
                <w:rFonts w:ascii="Times New Roman" w:hAnsi="Times New Roman"/>
                <w:b w:val="0"/>
                <w:i w:val="0"/>
                <w:sz w:val="18"/>
              </w:rPr>
              <w:t>43.7</w:t>
            </w:r>
          </w:p>
        </w:tc>
        <w:tc>
          <w:tcPr>
            <w:tcW w:type="dxa" w:w="1296"/>
          </w:tcPr>
          <w:p>
            <w:pPr>
              <w:jc w:val="center"/>
            </w:pPr>
            <w:r>
              <w:rPr>
                <w:rFonts w:ascii="Times New Roman" w:hAnsi="Times New Roman"/>
                <w:b w:val="0"/>
                <w:i w:val="0"/>
                <w:sz w:val="18"/>
              </w:rPr>
              <w:t>1.54</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Sikkim</w:t>
            </w:r>
          </w:p>
        </w:tc>
        <w:tc>
          <w:tcPr>
            <w:tcW w:type="dxa" w:w="1152"/>
          </w:tcPr>
          <w:p>
            <w:pPr>
              <w:jc w:val="center"/>
            </w:pPr>
            <w:r>
              <w:rPr>
                <w:rFonts w:ascii="Times New Roman" w:hAnsi="Times New Roman"/>
                <w:b w:val="0"/>
                <w:i w:val="0"/>
                <w:sz w:val="18"/>
              </w:rPr>
              <w:t>727</w:t>
            </w:r>
          </w:p>
        </w:tc>
        <w:tc>
          <w:tcPr>
            <w:tcW w:type="dxa" w:w="1152"/>
          </w:tcPr>
          <w:p>
            <w:pPr>
              <w:jc w:val="center"/>
            </w:pPr>
            <w:r>
              <w:rPr>
                <w:rFonts w:ascii="Times New Roman" w:hAnsi="Times New Roman"/>
                <w:b w:val="0"/>
                <w:i w:val="0"/>
                <w:sz w:val="18"/>
              </w:rPr>
              <w:t>40.7</w:t>
            </w:r>
          </w:p>
        </w:tc>
        <w:tc>
          <w:tcPr>
            <w:tcW w:type="dxa" w:w="1296"/>
          </w:tcPr>
          <w:p>
            <w:pPr>
              <w:jc w:val="center"/>
            </w:pPr>
            <w:r>
              <w:rPr>
                <w:rFonts w:ascii="Times New Roman" w:hAnsi="Times New Roman"/>
                <w:b w:val="0"/>
                <w:i w:val="0"/>
                <w:sz w:val="18"/>
              </w:rPr>
              <w:t>1.45</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West Bengal</w:t>
            </w:r>
          </w:p>
        </w:tc>
        <w:tc>
          <w:tcPr>
            <w:tcW w:type="dxa" w:w="1152"/>
          </w:tcPr>
          <w:p>
            <w:pPr>
              <w:jc w:val="center"/>
            </w:pPr>
            <w:r>
              <w:rPr>
                <w:rFonts w:ascii="Times New Roman" w:hAnsi="Times New Roman"/>
                <w:b w:val="0"/>
                <w:i w:val="0"/>
                <w:sz w:val="18"/>
              </w:rPr>
              <w:t>835</w:t>
            </w:r>
          </w:p>
        </w:tc>
        <w:tc>
          <w:tcPr>
            <w:tcW w:type="dxa" w:w="1152"/>
          </w:tcPr>
          <w:p>
            <w:pPr>
              <w:jc w:val="center"/>
            </w:pPr>
            <w:r>
              <w:rPr>
                <w:rFonts w:ascii="Times New Roman" w:hAnsi="Times New Roman"/>
                <w:b w:val="0"/>
                <w:i w:val="0"/>
                <w:sz w:val="18"/>
              </w:rPr>
              <w:t>58.9</w:t>
            </w:r>
          </w:p>
        </w:tc>
        <w:tc>
          <w:tcPr>
            <w:tcW w:type="dxa" w:w="1296"/>
          </w:tcPr>
          <w:p>
            <w:pPr>
              <w:jc w:val="center"/>
            </w:pPr>
            <w:r>
              <w:rPr>
                <w:rFonts w:ascii="Times New Roman" w:hAnsi="Times New Roman"/>
                <w:b w:val="0"/>
                <w:i w:val="0"/>
                <w:sz w:val="18"/>
              </w:rPr>
              <w:t>1.42</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Goa</w:t>
            </w:r>
          </w:p>
        </w:tc>
        <w:tc>
          <w:tcPr>
            <w:tcW w:type="dxa" w:w="1152"/>
          </w:tcPr>
          <w:p>
            <w:pPr>
              <w:jc w:val="center"/>
            </w:pPr>
            <w:r>
              <w:rPr>
                <w:rFonts w:ascii="Times New Roman" w:hAnsi="Times New Roman"/>
                <w:b w:val="0"/>
                <w:i w:val="0"/>
                <w:sz w:val="18"/>
              </w:rPr>
              <w:t>953</w:t>
            </w:r>
          </w:p>
        </w:tc>
        <w:tc>
          <w:tcPr>
            <w:tcW w:type="dxa" w:w="1152"/>
          </w:tcPr>
          <w:p>
            <w:pPr>
              <w:jc w:val="center"/>
            </w:pPr>
            <w:r>
              <w:rPr>
                <w:rFonts w:ascii="Times New Roman" w:hAnsi="Times New Roman"/>
                <w:b w:val="0"/>
                <w:i w:val="0"/>
                <w:sz w:val="18"/>
              </w:rPr>
              <w:t>88.7</w:t>
            </w:r>
          </w:p>
        </w:tc>
        <w:tc>
          <w:tcPr>
            <w:tcW w:type="dxa" w:w="1296"/>
          </w:tcPr>
          <w:p>
            <w:pPr>
              <w:jc w:val="center"/>
            </w:pPr>
            <w:r>
              <w:rPr>
                <w:rFonts w:ascii="Times New Roman" w:hAnsi="Times New Roman"/>
                <w:b w:val="0"/>
                <w:i w:val="0"/>
                <w:sz w:val="18"/>
              </w:rPr>
              <w:t>0.88</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Karnataka</w:t>
            </w:r>
          </w:p>
        </w:tc>
        <w:tc>
          <w:tcPr>
            <w:tcW w:type="dxa" w:w="1152"/>
          </w:tcPr>
          <w:p>
            <w:pPr>
              <w:jc w:val="center"/>
            </w:pPr>
            <w:r>
              <w:rPr>
                <w:rFonts w:ascii="Times New Roman" w:hAnsi="Times New Roman"/>
                <w:b w:val="0"/>
                <w:i w:val="0"/>
                <w:sz w:val="18"/>
              </w:rPr>
              <w:t>895</w:t>
            </w:r>
          </w:p>
        </w:tc>
        <w:tc>
          <w:tcPr>
            <w:tcW w:type="dxa" w:w="1152"/>
          </w:tcPr>
          <w:p>
            <w:pPr>
              <w:jc w:val="center"/>
            </w:pPr>
            <w:r>
              <w:rPr>
                <w:rFonts w:ascii="Times New Roman" w:hAnsi="Times New Roman"/>
                <w:b w:val="0"/>
                <w:i w:val="0"/>
                <w:sz w:val="18"/>
              </w:rPr>
              <w:t>82.8</w:t>
            </w:r>
          </w:p>
        </w:tc>
        <w:tc>
          <w:tcPr>
            <w:tcW w:type="dxa" w:w="1296"/>
          </w:tcPr>
          <w:p>
            <w:pPr>
              <w:jc w:val="center"/>
            </w:pPr>
            <w:r>
              <w:rPr>
                <w:rFonts w:ascii="Times New Roman" w:hAnsi="Times New Roman"/>
                <w:b w:val="0"/>
                <w:i w:val="0"/>
                <w:sz w:val="18"/>
              </w:rPr>
              <w:t>0.71</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Telangana</w:t>
            </w:r>
          </w:p>
        </w:tc>
        <w:tc>
          <w:tcPr>
            <w:tcW w:type="dxa" w:w="1152"/>
          </w:tcPr>
          <w:p>
            <w:pPr>
              <w:jc w:val="center"/>
            </w:pPr>
            <w:r>
              <w:rPr>
                <w:rFonts w:ascii="Times New Roman" w:hAnsi="Times New Roman"/>
                <w:b w:val="0"/>
                <w:i w:val="0"/>
                <w:sz w:val="18"/>
              </w:rPr>
              <w:t>747</w:t>
            </w:r>
          </w:p>
        </w:tc>
        <w:tc>
          <w:tcPr>
            <w:tcW w:type="dxa" w:w="1152"/>
          </w:tcPr>
          <w:p>
            <w:pPr>
              <w:jc w:val="center"/>
            </w:pPr>
            <w:r>
              <w:rPr>
                <w:rFonts w:ascii="Times New Roman" w:hAnsi="Times New Roman"/>
                <w:b w:val="0"/>
                <w:i w:val="0"/>
                <w:sz w:val="18"/>
              </w:rPr>
              <w:t>125.1</w:t>
            </w:r>
          </w:p>
        </w:tc>
        <w:tc>
          <w:tcPr>
            <w:tcW w:type="dxa" w:w="1296"/>
          </w:tcPr>
          <w:p>
            <w:pPr>
              <w:jc w:val="center"/>
            </w:pPr>
            <w:r>
              <w:rPr>
                <w:rFonts w:ascii="Times New Roman" w:hAnsi="Times New Roman"/>
                <w:b w:val="0"/>
                <w:i w:val="0"/>
                <w:sz w:val="18"/>
              </w:rPr>
              <w:t>-2.66</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Chhattisgarh</w:t>
            </w:r>
          </w:p>
        </w:tc>
        <w:tc>
          <w:tcPr>
            <w:tcW w:type="dxa" w:w="1152"/>
          </w:tcPr>
          <w:p>
            <w:pPr>
              <w:jc w:val="center"/>
            </w:pPr>
            <w:r>
              <w:rPr>
                <w:rFonts w:ascii="Times New Roman" w:hAnsi="Times New Roman"/>
                <w:b w:val="0"/>
                <w:i w:val="0"/>
                <w:sz w:val="18"/>
              </w:rPr>
              <w:t>619</w:t>
            </w:r>
          </w:p>
        </w:tc>
        <w:tc>
          <w:tcPr>
            <w:tcW w:type="dxa" w:w="1152"/>
          </w:tcPr>
          <w:p>
            <w:pPr>
              <w:jc w:val="center"/>
            </w:pPr>
            <w:r>
              <w:rPr>
                <w:rFonts w:ascii="Times New Roman" w:hAnsi="Times New Roman"/>
                <w:b w:val="0"/>
                <w:i w:val="0"/>
                <w:sz w:val="18"/>
              </w:rPr>
              <w:t>95.3</w:t>
            </w:r>
          </w:p>
        </w:tc>
        <w:tc>
          <w:tcPr>
            <w:tcW w:type="dxa" w:w="1296"/>
          </w:tcPr>
          <w:p>
            <w:pPr>
              <w:jc w:val="center"/>
            </w:pPr>
            <w:r>
              <w:rPr>
                <w:rFonts w:ascii="Times New Roman" w:hAnsi="Times New Roman"/>
                <w:b w:val="0"/>
                <w:i w:val="0"/>
                <w:sz w:val="18"/>
              </w:rPr>
              <w:t>-2.20</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Uttarakhand</w:t>
            </w:r>
          </w:p>
        </w:tc>
        <w:tc>
          <w:tcPr>
            <w:tcW w:type="dxa" w:w="1152"/>
          </w:tcPr>
          <w:p>
            <w:pPr>
              <w:jc w:val="center"/>
            </w:pPr>
            <w:r>
              <w:rPr>
                <w:rFonts w:ascii="Times New Roman" w:hAnsi="Times New Roman"/>
                <w:b w:val="0"/>
                <w:i w:val="0"/>
                <w:sz w:val="18"/>
              </w:rPr>
              <w:t>717</w:t>
            </w:r>
          </w:p>
        </w:tc>
        <w:tc>
          <w:tcPr>
            <w:tcW w:type="dxa" w:w="1152"/>
          </w:tcPr>
          <w:p>
            <w:pPr>
              <w:jc w:val="center"/>
            </w:pPr>
            <w:r>
              <w:rPr>
                <w:rFonts w:ascii="Times New Roman" w:hAnsi="Times New Roman"/>
                <w:b w:val="0"/>
                <w:i w:val="0"/>
                <w:sz w:val="18"/>
              </w:rPr>
              <w:t>94.9</w:t>
            </w:r>
          </w:p>
        </w:tc>
        <w:tc>
          <w:tcPr>
            <w:tcW w:type="dxa" w:w="1296"/>
          </w:tcPr>
          <w:p>
            <w:pPr>
              <w:jc w:val="center"/>
            </w:pPr>
            <w:r>
              <w:rPr>
                <w:rFonts w:ascii="Times New Roman" w:hAnsi="Times New Roman"/>
                <w:b w:val="0"/>
                <w:i w:val="0"/>
                <w:sz w:val="18"/>
              </w:rPr>
              <w:t>-1.37</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Jharkhand</w:t>
            </w:r>
          </w:p>
        </w:tc>
        <w:tc>
          <w:tcPr>
            <w:tcW w:type="dxa" w:w="1152"/>
          </w:tcPr>
          <w:p>
            <w:pPr>
              <w:jc w:val="center"/>
            </w:pPr>
            <w:r>
              <w:rPr>
                <w:rFonts w:ascii="Times New Roman" w:hAnsi="Times New Roman"/>
                <w:b w:val="0"/>
                <w:i w:val="0"/>
                <w:sz w:val="18"/>
              </w:rPr>
              <w:t>597</w:t>
            </w:r>
          </w:p>
        </w:tc>
        <w:tc>
          <w:tcPr>
            <w:tcW w:type="dxa" w:w="1152"/>
          </w:tcPr>
          <w:p>
            <w:pPr>
              <w:jc w:val="center"/>
            </w:pPr>
            <w:r>
              <w:rPr>
                <w:rFonts w:ascii="Times New Roman" w:hAnsi="Times New Roman"/>
                <w:b w:val="0"/>
                <w:i w:val="0"/>
                <w:sz w:val="18"/>
              </w:rPr>
              <w:t>72.1</w:t>
            </w:r>
          </w:p>
        </w:tc>
        <w:tc>
          <w:tcPr>
            <w:tcW w:type="dxa" w:w="1296"/>
          </w:tcPr>
          <w:p>
            <w:pPr>
              <w:jc w:val="center"/>
            </w:pPr>
            <w:r>
              <w:rPr>
                <w:rFonts w:ascii="Times New Roman" w:hAnsi="Times New Roman"/>
                <w:b w:val="0"/>
                <w:i w:val="0"/>
                <w:sz w:val="18"/>
              </w:rPr>
              <w:t>-1.21</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Gujarat</w:t>
            </w:r>
          </w:p>
        </w:tc>
        <w:tc>
          <w:tcPr>
            <w:tcW w:type="dxa" w:w="1152"/>
          </w:tcPr>
          <w:p>
            <w:pPr>
              <w:jc w:val="center"/>
            </w:pPr>
            <w:r>
              <w:rPr>
                <w:rFonts w:ascii="Times New Roman" w:hAnsi="Times New Roman"/>
                <w:b w:val="0"/>
                <w:i w:val="0"/>
                <w:sz w:val="18"/>
              </w:rPr>
              <w:t>712</w:t>
            </w:r>
          </w:p>
        </w:tc>
        <w:tc>
          <w:tcPr>
            <w:tcW w:type="dxa" w:w="1152"/>
          </w:tcPr>
          <w:p>
            <w:pPr>
              <w:jc w:val="center"/>
            </w:pPr>
            <w:r>
              <w:rPr>
                <w:rFonts w:ascii="Times New Roman" w:hAnsi="Times New Roman"/>
                <w:b w:val="0"/>
                <w:i w:val="0"/>
                <w:sz w:val="18"/>
              </w:rPr>
              <w:t>88.6</w:t>
            </w:r>
          </w:p>
        </w:tc>
        <w:tc>
          <w:tcPr>
            <w:tcW w:type="dxa" w:w="1296"/>
          </w:tcPr>
          <w:p>
            <w:pPr>
              <w:jc w:val="center"/>
            </w:pPr>
            <w:r>
              <w:rPr>
                <w:rFonts w:ascii="Times New Roman" w:hAnsi="Times New Roman"/>
                <w:b w:val="0"/>
                <w:i w:val="0"/>
                <w:sz w:val="18"/>
              </w:rPr>
              <w:t>-1.10</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Manipur</w:t>
            </w:r>
          </w:p>
        </w:tc>
        <w:tc>
          <w:tcPr>
            <w:tcW w:type="dxa" w:w="1152"/>
          </w:tcPr>
          <w:p>
            <w:pPr>
              <w:jc w:val="center"/>
            </w:pPr>
            <w:r>
              <w:rPr>
                <w:rFonts w:ascii="Times New Roman" w:hAnsi="Times New Roman"/>
                <w:b w:val="0"/>
                <w:i w:val="0"/>
                <w:sz w:val="18"/>
              </w:rPr>
              <w:t>585</w:t>
            </w:r>
          </w:p>
        </w:tc>
        <w:tc>
          <w:tcPr>
            <w:tcW w:type="dxa" w:w="1152"/>
          </w:tcPr>
          <w:p>
            <w:pPr>
              <w:jc w:val="center"/>
            </w:pPr>
            <w:r>
              <w:rPr>
                <w:rFonts w:ascii="Times New Roman" w:hAnsi="Times New Roman"/>
                <w:b w:val="0"/>
                <w:i w:val="0"/>
                <w:sz w:val="18"/>
              </w:rPr>
              <w:t>66.0</w:t>
            </w:r>
          </w:p>
        </w:tc>
        <w:tc>
          <w:tcPr>
            <w:tcW w:type="dxa" w:w="1296"/>
          </w:tcPr>
          <w:p>
            <w:pPr>
              <w:jc w:val="center"/>
            </w:pPr>
            <w:r>
              <w:rPr>
                <w:rFonts w:ascii="Times New Roman" w:hAnsi="Times New Roman"/>
                <w:b w:val="0"/>
                <w:i w:val="0"/>
                <w:sz w:val="18"/>
              </w:rPr>
              <w:t>-1.00</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Madhya Pradesh</w:t>
            </w:r>
          </w:p>
        </w:tc>
        <w:tc>
          <w:tcPr>
            <w:tcW w:type="dxa" w:w="1152"/>
          </w:tcPr>
          <w:p>
            <w:pPr>
              <w:jc w:val="center"/>
            </w:pPr>
            <w:r>
              <w:rPr>
                <w:rFonts w:ascii="Times New Roman" w:hAnsi="Times New Roman"/>
                <w:b w:val="0"/>
                <w:i w:val="0"/>
                <w:sz w:val="18"/>
              </w:rPr>
              <w:t>635</w:t>
            </w:r>
          </w:p>
        </w:tc>
        <w:tc>
          <w:tcPr>
            <w:tcW w:type="dxa" w:w="1152"/>
          </w:tcPr>
          <w:p>
            <w:pPr>
              <w:jc w:val="center"/>
            </w:pPr>
            <w:r>
              <w:rPr>
                <w:rFonts w:ascii="Times New Roman" w:hAnsi="Times New Roman"/>
                <w:b w:val="0"/>
                <w:i w:val="0"/>
                <w:sz w:val="18"/>
              </w:rPr>
              <w:t>73.9</w:t>
            </w:r>
          </w:p>
        </w:tc>
        <w:tc>
          <w:tcPr>
            <w:tcW w:type="dxa" w:w="1296"/>
          </w:tcPr>
          <w:p>
            <w:pPr>
              <w:jc w:val="center"/>
            </w:pPr>
            <w:r>
              <w:rPr>
                <w:rFonts w:ascii="Times New Roman" w:hAnsi="Times New Roman"/>
                <w:b w:val="0"/>
                <w:i w:val="0"/>
                <w:sz w:val="18"/>
              </w:rPr>
              <w:t>-0.99</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Odisha</w:t>
            </w:r>
          </w:p>
        </w:tc>
        <w:tc>
          <w:tcPr>
            <w:tcW w:type="dxa" w:w="1152"/>
          </w:tcPr>
          <w:p>
            <w:pPr>
              <w:jc w:val="center"/>
            </w:pPr>
            <w:r>
              <w:rPr>
                <w:rFonts w:ascii="Times New Roman" w:hAnsi="Times New Roman"/>
                <w:b w:val="0"/>
                <w:i w:val="0"/>
                <w:sz w:val="18"/>
              </w:rPr>
              <w:t>684</w:t>
            </w:r>
          </w:p>
        </w:tc>
        <w:tc>
          <w:tcPr>
            <w:tcW w:type="dxa" w:w="1152"/>
          </w:tcPr>
          <w:p>
            <w:pPr>
              <w:jc w:val="center"/>
            </w:pPr>
            <w:r>
              <w:rPr>
                <w:rFonts w:ascii="Times New Roman" w:hAnsi="Times New Roman"/>
                <w:b w:val="0"/>
                <w:i w:val="0"/>
                <w:sz w:val="18"/>
              </w:rPr>
              <w:t>79.9</w:t>
            </w:r>
          </w:p>
        </w:tc>
        <w:tc>
          <w:tcPr>
            <w:tcW w:type="dxa" w:w="1296"/>
          </w:tcPr>
          <w:p>
            <w:pPr>
              <w:jc w:val="center"/>
            </w:pPr>
            <w:r>
              <w:rPr>
                <w:rFonts w:ascii="Times New Roman" w:hAnsi="Times New Roman"/>
                <w:b w:val="0"/>
                <w:i w:val="0"/>
                <w:sz w:val="18"/>
              </w:rPr>
              <w:t>-0.89</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Andhra Pradesh</w:t>
            </w:r>
          </w:p>
        </w:tc>
        <w:tc>
          <w:tcPr>
            <w:tcW w:type="dxa" w:w="1152"/>
          </w:tcPr>
          <w:p>
            <w:pPr>
              <w:jc w:val="center"/>
            </w:pPr>
            <w:r>
              <w:rPr>
                <w:rFonts w:ascii="Times New Roman" w:hAnsi="Times New Roman"/>
                <w:b w:val="0"/>
                <w:i w:val="0"/>
                <w:sz w:val="18"/>
              </w:rPr>
              <w:t>777</w:t>
            </w:r>
          </w:p>
        </w:tc>
        <w:tc>
          <w:tcPr>
            <w:tcW w:type="dxa" w:w="1152"/>
          </w:tcPr>
          <w:p>
            <w:pPr>
              <w:jc w:val="center"/>
            </w:pPr>
            <w:r>
              <w:rPr>
                <w:rFonts w:ascii="Times New Roman" w:hAnsi="Times New Roman"/>
                <w:b w:val="0"/>
                <w:i w:val="0"/>
                <w:sz w:val="18"/>
              </w:rPr>
              <w:t>94.5</w:t>
            </w:r>
          </w:p>
        </w:tc>
        <w:tc>
          <w:tcPr>
            <w:tcW w:type="dxa" w:w="1296"/>
          </w:tcPr>
          <w:p>
            <w:pPr>
              <w:jc w:val="center"/>
            </w:pPr>
            <w:r>
              <w:rPr>
                <w:rFonts w:ascii="Times New Roman" w:hAnsi="Times New Roman"/>
                <w:b w:val="0"/>
                <w:i w:val="0"/>
                <w:sz w:val="18"/>
              </w:rPr>
              <w:t>-0.87</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Tripura</w:t>
            </w:r>
          </w:p>
        </w:tc>
        <w:tc>
          <w:tcPr>
            <w:tcW w:type="dxa" w:w="1152"/>
          </w:tcPr>
          <w:p>
            <w:pPr>
              <w:jc w:val="center"/>
            </w:pPr>
            <w:r>
              <w:rPr>
                <w:rFonts w:ascii="Times New Roman" w:hAnsi="Times New Roman"/>
                <w:b w:val="0"/>
                <w:i w:val="0"/>
                <w:sz w:val="18"/>
              </w:rPr>
              <w:t>632</w:t>
            </w:r>
          </w:p>
        </w:tc>
        <w:tc>
          <w:tcPr>
            <w:tcW w:type="dxa" w:w="1152"/>
          </w:tcPr>
          <w:p>
            <w:pPr>
              <w:jc w:val="center"/>
            </w:pPr>
            <w:r>
              <w:rPr>
                <w:rFonts w:ascii="Times New Roman" w:hAnsi="Times New Roman"/>
                <w:b w:val="0"/>
                <w:i w:val="0"/>
                <w:sz w:val="18"/>
              </w:rPr>
              <w:t>63.8</w:t>
            </w:r>
          </w:p>
        </w:tc>
        <w:tc>
          <w:tcPr>
            <w:tcW w:type="dxa" w:w="1296"/>
          </w:tcPr>
          <w:p>
            <w:pPr>
              <w:jc w:val="center"/>
            </w:pPr>
            <w:r>
              <w:rPr>
                <w:rFonts w:ascii="Times New Roman" w:hAnsi="Times New Roman"/>
                <w:b w:val="0"/>
                <w:i w:val="0"/>
                <w:sz w:val="18"/>
              </w:rPr>
              <w:t>-0.50</w:t>
            </w:r>
          </w:p>
        </w:tc>
        <w:tc>
          <w:tcPr>
            <w:tcW w:type="dxa" w:w="2160"/>
          </w:tcPr>
          <w:p>
            <w:pPr>
              <w:jc w:val="center"/>
            </w:pPr>
            <w:r>
              <w:rPr>
                <w:rFonts w:ascii="Times New Roman" w:hAnsi="Times New Roman"/>
                <w:b w:val="0"/>
                <w:i w:val="0"/>
                <w:sz w:val="18"/>
              </w:rPr>
              <w:t>Mortality-prominent</w:t>
            </w:r>
          </w:p>
        </w:tc>
      </w:tr>
    </w:tbl>
    <w:p>
      <w:pPr>
        <w:spacing w:before="0" w:after="120"/>
        <w:jc w:val="left"/>
      </w:pPr>
      <w:r>
        <w:rPr>
          <w:rFonts w:ascii="Times New Roman" w:hAnsi="Times New Roman"/>
          <w:b w:val="0"/>
          <w:i/>
          <w:sz w:val="18"/>
        </w:rPr>
        <w:t>HDBI = z(YLD rate) - z(death rate). Positive values indicate relatively greater disability burden. States were classified as disability-prominent (&gt;0.5), mortality-prominent (&lt;-0.5), or balanced otherwise.</w:t>
      </w:r>
    </w:p>
    <w:p>
      <w:pPr>
        <w:spacing w:before="160" w:after="80"/>
      </w:pPr>
      <w:r>
        <w:rPr>
          <w:rFonts w:ascii="Times New Roman" w:hAnsi="Times New Roman"/>
          <w:b/>
          <w:i w:val="0"/>
          <w:sz w:val="22"/>
        </w:rPr>
        <w:t>Table 4. Inter-state inequality in accidental death rates, India 2023.</w:t>
      </w:r>
    </w:p>
    <w:tbl>
      <w:tblPr>
        <w:tblStyle w:val="TableGrid"/>
        <w:tblW w:type="auto" w:w="0"/>
        <w:tblLook w:firstColumn="1" w:firstRow="1" w:lastColumn="0" w:lastRow="0" w:noHBand="0" w:noVBand="1" w:val="04A0"/>
      </w:tblPr>
      <w:tblGrid>
        <w:gridCol w:w="4680"/>
        <w:gridCol w:w="4680"/>
      </w:tblGrid>
      <w:tr>
        <w:tc>
          <w:tcPr>
            <w:tcW w:type="dxa" w:w="4032"/>
            <w:shd w:fill="D9EAF7"/>
          </w:tcPr>
          <w:p>
            <w:pPr>
              <w:jc w:val="center"/>
            </w:pPr>
            <w:r>
              <w:rPr>
                <w:rFonts w:ascii="Times New Roman" w:hAnsi="Times New Roman"/>
                <w:b/>
                <w:i w:val="0"/>
                <w:sz w:val="18"/>
              </w:rPr>
              <w:t>Metric</w:t>
            </w:r>
          </w:p>
        </w:tc>
        <w:tc>
          <w:tcPr>
            <w:tcW w:type="dxa" w:w="1728"/>
            <w:shd w:fill="D9EAF7"/>
          </w:tcPr>
          <w:p>
            <w:pPr>
              <w:jc w:val="center"/>
            </w:pPr>
            <w:r>
              <w:rPr>
                <w:rFonts w:ascii="Times New Roman" w:hAnsi="Times New Roman"/>
                <w:b/>
                <w:i w:val="0"/>
                <w:sz w:val="18"/>
              </w:rPr>
              <w:t>Value</w:t>
            </w:r>
          </w:p>
        </w:tc>
      </w:tr>
      <w:tr>
        <w:tc>
          <w:tcPr>
            <w:tcW w:type="dxa" w:w="4032"/>
          </w:tcPr>
          <w:p>
            <w:pPr>
              <w:jc w:val="left"/>
            </w:pPr>
            <w:r>
              <w:rPr>
                <w:rFonts w:ascii="Times New Roman" w:hAnsi="Times New Roman"/>
                <w:b w:val="0"/>
                <w:i w:val="0"/>
                <w:sz w:val="18"/>
              </w:rPr>
              <w:t>Mean rate per 100,000</w:t>
            </w:r>
          </w:p>
        </w:tc>
        <w:tc>
          <w:tcPr>
            <w:tcW w:type="dxa" w:w="1728"/>
          </w:tcPr>
          <w:p>
            <w:pPr>
              <w:jc w:val="center"/>
            </w:pPr>
            <w:r>
              <w:rPr>
                <w:rFonts w:ascii="Times New Roman" w:hAnsi="Times New Roman"/>
                <w:b w:val="0"/>
                <w:i w:val="0"/>
                <w:sz w:val="18"/>
              </w:rPr>
              <w:t>31.92</w:t>
            </w:r>
          </w:p>
        </w:tc>
      </w:tr>
      <w:tr>
        <w:tc>
          <w:tcPr>
            <w:tcW w:type="dxa" w:w="4032"/>
          </w:tcPr>
          <w:p>
            <w:pPr>
              <w:jc w:val="left"/>
            </w:pPr>
            <w:r>
              <w:rPr>
                <w:rFonts w:ascii="Times New Roman" w:hAnsi="Times New Roman"/>
                <w:b w:val="0"/>
                <w:i w:val="0"/>
                <w:sz w:val="18"/>
              </w:rPr>
              <w:t>Median rate per 100,000</w:t>
            </w:r>
          </w:p>
        </w:tc>
        <w:tc>
          <w:tcPr>
            <w:tcW w:type="dxa" w:w="1728"/>
          </w:tcPr>
          <w:p>
            <w:pPr>
              <w:jc w:val="center"/>
            </w:pPr>
            <w:r>
              <w:rPr>
                <w:rFonts w:ascii="Times New Roman" w:hAnsi="Times New Roman"/>
                <w:b w:val="0"/>
                <w:i w:val="0"/>
                <w:sz w:val="18"/>
              </w:rPr>
              <w:t>32.05</w:t>
            </w:r>
          </w:p>
        </w:tc>
      </w:tr>
      <w:tr>
        <w:tc>
          <w:tcPr>
            <w:tcW w:type="dxa" w:w="4032"/>
          </w:tcPr>
          <w:p>
            <w:pPr>
              <w:jc w:val="left"/>
            </w:pPr>
            <w:r>
              <w:rPr>
                <w:rFonts w:ascii="Times New Roman" w:hAnsi="Times New Roman"/>
                <w:b w:val="0"/>
                <w:i w:val="0"/>
                <w:sz w:val="18"/>
              </w:rPr>
              <w:t>Minimum rate per 100,000</w:t>
            </w:r>
          </w:p>
        </w:tc>
        <w:tc>
          <w:tcPr>
            <w:tcW w:type="dxa" w:w="1728"/>
          </w:tcPr>
          <w:p>
            <w:pPr>
              <w:jc w:val="center"/>
            </w:pPr>
            <w:r>
              <w:rPr>
                <w:rFonts w:ascii="Times New Roman" w:hAnsi="Times New Roman"/>
                <w:b w:val="0"/>
                <w:i w:val="0"/>
                <w:sz w:val="18"/>
              </w:rPr>
              <w:t>3.20</w:t>
            </w:r>
          </w:p>
        </w:tc>
      </w:tr>
      <w:tr>
        <w:tc>
          <w:tcPr>
            <w:tcW w:type="dxa" w:w="4032"/>
          </w:tcPr>
          <w:p>
            <w:pPr>
              <w:jc w:val="left"/>
            </w:pPr>
            <w:r>
              <w:rPr>
                <w:rFonts w:ascii="Times New Roman" w:hAnsi="Times New Roman"/>
                <w:b w:val="0"/>
                <w:i w:val="0"/>
                <w:sz w:val="18"/>
              </w:rPr>
              <w:t>Maximum rate per 100,000</w:t>
            </w:r>
          </w:p>
        </w:tc>
        <w:tc>
          <w:tcPr>
            <w:tcW w:type="dxa" w:w="1728"/>
          </w:tcPr>
          <w:p>
            <w:pPr>
              <w:jc w:val="center"/>
            </w:pPr>
            <w:r>
              <w:rPr>
                <w:rFonts w:ascii="Times New Roman" w:hAnsi="Times New Roman"/>
                <w:b w:val="0"/>
                <w:i w:val="0"/>
                <w:sz w:val="18"/>
              </w:rPr>
              <w:t>75.40</w:t>
            </w:r>
          </w:p>
        </w:tc>
      </w:tr>
      <w:tr>
        <w:tc>
          <w:tcPr>
            <w:tcW w:type="dxa" w:w="4032"/>
          </w:tcPr>
          <w:p>
            <w:pPr>
              <w:jc w:val="left"/>
            </w:pPr>
            <w:r>
              <w:rPr>
                <w:rFonts w:ascii="Times New Roman" w:hAnsi="Times New Roman"/>
                <w:b w:val="0"/>
                <w:i w:val="0"/>
                <w:sz w:val="18"/>
              </w:rPr>
              <w:t>Top-to-bottom ratio</w:t>
            </w:r>
          </w:p>
        </w:tc>
        <w:tc>
          <w:tcPr>
            <w:tcW w:type="dxa" w:w="1728"/>
          </w:tcPr>
          <w:p>
            <w:pPr>
              <w:jc w:val="center"/>
            </w:pPr>
            <w:r>
              <w:rPr>
                <w:rFonts w:ascii="Times New Roman" w:hAnsi="Times New Roman"/>
                <w:b w:val="0"/>
                <w:i w:val="0"/>
                <w:sz w:val="18"/>
              </w:rPr>
              <w:t>23.56</w:t>
            </w:r>
          </w:p>
        </w:tc>
      </w:tr>
      <w:tr>
        <w:tc>
          <w:tcPr>
            <w:tcW w:type="dxa" w:w="4032"/>
          </w:tcPr>
          <w:p>
            <w:pPr>
              <w:jc w:val="left"/>
            </w:pPr>
            <w:r>
              <w:rPr>
                <w:rFonts w:ascii="Times New Roman" w:hAnsi="Times New Roman"/>
                <w:b w:val="0"/>
                <w:i w:val="0"/>
                <w:sz w:val="18"/>
              </w:rPr>
              <w:t>Coefficient of variation</w:t>
            </w:r>
          </w:p>
        </w:tc>
        <w:tc>
          <w:tcPr>
            <w:tcW w:type="dxa" w:w="1728"/>
          </w:tcPr>
          <w:p>
            <w:pPr>
              <w:jc w:val="center"/>
            </w:pPr>
            <w:r>
              <w:rPr>
                <w:rFonts w:ascii="Times New Roman" w:hAnsi="Times New Roman"/>
                <w:b w:val="0"/>
                <w:i w:val="0"/>
                <w:sz w:val="18"/>
              </w:rPr>
              <w:t>0.569</w:t>
            </w:r>
          </w:p>
        </w:tc>
      </w:tr>
      <w:tr>
        <w:tc>
          <w:tcPr>
            <w:tcW w:type="dxa" w:w="4032"/>
          </w:tcPr>
          <w:p>
            <w:pPr>
              <w:jc w:val="left"/>
            </w:pPr>
            <w:r>
              <w:rPr>
                <w:rFonts w:ascii="Times New Roman" w:hAnsi="Times New Roman"/>
                <w:b w:val="0"/>
                <w:i w:val="0"/>
                <w:sz w:val="18"/>
              </w:rPr>
              <w:t>Interquartile range</w:t>
            </w:r>
          </w:p>
        </w:tc>
        <w:tc>
          <w:tcPr>
            <w:tcW w:type="dxa" w:w="1728"/>
          </w:tcPr>
          <w:p>
            <w:pPr>
              <w:jc w:val="center"/>
            </w:pPr>
            <w:r>
              <w:rPr>
                <w:rFonts w:ascii="Times New Roman" w:hAnsi="Times New Roman"/>
                <w:b w:val="0"/>
                <w:i w:val="0"/>
                <w:sz w:val="18"/>
              </w:rPr>
              <w:t>29.55</w:t>
            </w:r>
          </w:p>
        </w:tc>
      </w:tr>
      <w:tr>
        <w:tc>
          <w:tcPr>
            <w:tcW w:type="dxa" w:w="4032"/>
          </w:tcPr>
          <w:p>
            <w:pPr>
              <w:jc w:val="left"/>
            </w:pPr>
            <w:r>
              <w:rPr>
                <w:rFonts w:ascii="Times New Roman" w:hAnsi="Times New Roman"/>
                <w:b w:val="0"/>
                <w:i w:val="0"/>
                <w:sz w:val="18"/>
              </w:rPr>
              <w:t>Gini coefficient</w:t>
            </w:r>
          </w:p>
        </w:tc>
        <w:tc>
          <w:tcPr>
            <w:tcW w:type="dxa" w:w="1728"/>
          </w:tcPr>
          <w:p>
            <w:pPr>
              <w:jc w:val="center"/>
            </w:pPr>
            <w:r>
              <w:rPr>
                <w:rFonts w:ascii="Times New Roman" w:hAnsi="Times New Roman"/>
                <w:b w:val="0"/>
                <w:i w:val="0"/>
                <w:sz w:val="18"/>
              </w:rPr>
              <w:t>0.318</w:t>
            </w:r>
          </w:p>
        </w:tc>
      </w:tr>
    </w:tbl>
    <w:p>
      <w:pPr>
        <w:spacing w:before="0" w:after="120"/>
        <w:jc w:val="left"/>
      </w:pPr>
      <w:r>
        <w:rPr>
          <w:rFonts w:ascii="Times New Roman" w:hAnsi="Times New Roman"/>
          <w:b w:val="0"/>
          <w:i/>
          <w:sz w:val="18"/>
        </w:rPr>
        <w:t>Source: NCRB accidental death rates. The Gini coefficient ranges from 0 (equality) to 1 (maximal inequality).</w:t>
      </w:r>
    </w:p>
    <w:p>
      <w:pPr>
        <w:spacing w:before="200" w:after="80"/>
      </w:pPr>
      <w:r>
        <w:rPr>
          <w:rFonts w:ascii="Times New Roman" w:hAnsi="Times New Roman"/>
          <w:b/>
          <w:i w:val="0"/>
          <w:sz w:val="24"/>
        </w:rPr>
        <w:t>FIGURE LEGENDS</w:t>
      </w:r>
    </w:p>
    <w:p>
      <w:pPr>
        <w:spacing w:after="120"/>
        <w:jc w:val="both"/>
      </w:pPr>
      <w:r>
        <w:rPr>
          <w:rFonts w:ascii="Times New Roman" w:hAnsi="Times New Roman"/>
          <w:b w:val="0"/>
          <w:i w:val="0"/>
          <w:sz w:val="24"/>
        </w:rPr>
        <w:t>Fig 1. India choropleth of age-standardised injury DALY rate per 100,000 population in 2021. Darker shading indicates higher burden; boundary notes are shown in the figure.</w:t>
      </w:r>
    </w:p>
    <w:p>
      <w:pPr>
        <w:spacing w:after="120"/>
        <w:jc w:val="both"/>
      </w:pPr>
      <w:r>
        <w:rPr>
          <w:rFonts w:ascii="Times New Roman" w:hAnsi="Times New Roman"/>
          <w:b w:val="0"/>
          <w:i w:val="0"/>
          <w:sz w:val="24"/>
        </w:rPr>
        <w:t>Fig 2. Hidden Disability Burden Index by state in 2021. Positive values identify disability-prominent states and negative values identify mortality-prominent states.</w:t>
      </w:r>
    </w:p>
    <w:p>
      <w:pPr>
        <w:spacing w:after="120"/>
        <w:jc w:val="both"/>
      </w:pPr>
      <w:r>
        <w:rPr>
          <w:rFonts w:ascii="Times New Roman" w:hAnsi="Times New Roman"/>
          <w:b w:val="0"/>
          <w:i w:val="0"/>
          <w:sz w:val="24"/>
        </w:rPr>
        <w:t>Fig 3. Heatmap of cause-specific injury DALY rates by state in 2021. Colour intensity is scaled within each cause column.</w:t>
      </w:r>
    </w:p>
    <w:p>
      <w:pPr>
        <w:spacing w:after="120"/>
        <w:jc w:val="both"/>
      </w:pPr>
      <w:r>
        <w:rPr>
          <w:rFonts w:ascii="Times New Roman" w:hAnsi="Times New Roman"/>
          <w:b w:val="0"/>
          <w:i w:val="0"/>
          <w:sz w:val="24"/>
        </w:rPr>
        <w:t>Fig 4. Available-year trend series for total injury DALYs, deaths and YLDs across the processed local extract.</w:t>
      </w:r>
    </w:p>
    <w:p>
      <w:pPr>
        <w:spacing w:after="120"/>
        <w:jc w:val="both"/>
      </w:pPr>
      <w:r>
        <w:rPr>
          <w:rFonts w:ascii="Times New Roman" w:hAnsi="Times New Roman"/>
          <w:b w:val="0"/>
          <w:i w:val="0"/>
          <w:sz w:val="24"/>
        </w:rPr>
        <w:t>Fig 5. State typology scatter plot of injury death rate versus YLD rate in 2021.</w:t>
      </w:r>
    </w:p>
    <w:p>
      <w:pPr>
        <w:spacing w:after="120"/>
        <w:jc w:val="both"/>
      </w:pPr>
      <w:r>
        <w:rPr>
          <w:rFonts w:ascii="Times New Roman" w:hAnsi="Times New Roman"/>
          <w:b w:val="0"/>
          <w:i w:val="0"/>
          <w:sz w:val="24"/>
        </w:rPr>
        <w:t>Fig 6. Road-injury surveillance-burden rank mismatch comparing MoRTH road-death rank with GBD road-DALY rank.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