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Times New Roman" w:hAnsi="Times New Roman"/>
          <w:b w:val="0"/>
          <w:i w:val="0"/>
          <w:sz w:val="24"/>
        </w:rPr>
        <w:t>24 April 2026</w:t>
      </w:r>
    </w:p>
    <w:p>
      <w:pPr>
        <w:spacing w:before="0" w:after="120"/>
        <w:jc w:val="left"/>
      </w:pPr>
      <w:r>
        <w:rPr>
          <w:rFonts w:ascii="Times New Roman" w:hAnsi="Times New Roman"/>
          <w:b/>
          <w:i w:val="0"/>
          <w:sz w:val="24"/>
        </w:rPr>
        <w:t>The Editor</w:t>
      </w:r>
    </w:p>
    <w:p>
      <w:pPr>
        <w:spacing w:before="0" w:after="120"/>
        <w:jc w:val="left"/>
      </w:pPr>
      <w:r>
        <w:rPr>
          <w:rFonts w:ascii="Times New Roman" w:hAnsi="Times New Roman"/>
          <w:b w:val="0"/>
          <w:i w:val="0"/>
          <w:sz w:val="24"/>
        </w:rPr>
        <w:t>The National Medical Journal of India</w:t>
      </w:r>
    </w:p>
    <w:p>
      <w:pPr>
        <w:spacing w:before="0" w:after="120"/>
        <w:jc w:val="left"/>
      </w:pPr>
      <w:r>
        <w:rPr>
          <w:rFonts w:ascii="Times New Roman" w:hAnsi="Times New Roman"/>
          <w:b w:val="0"/>
          <w:i w:val="0"/>
          <w:sz w:val="24"/>
        </w:rPr>
        <w:t>All India Institute of Medical Sciences</w:t>
      </w:r>
    </w:p>
    <w:p>
      <w:pPr>
        <w:spacing w:before="0" w:after="240"/>
        <w:jc w:val="left"/>
      </w:pPr>
      <w:r>
        <w:rPr>
          <w:rFonts w:ascii="Times New Roman" w:hAnsi="Times New Roman"/>
          <w:b w:val="0"/>
          <w:i w:val="0"/>
          <w:sz w:val="24"/>
        </w:rPr>
        <w:t>New Delhi 110029, India</w:t>
      </w:r>
    </w:p>
    <w:p>
      <w:pPr>
        <w:spacing w:after="120"/>
        <w:jc w:val="both"/>
      </w:pPr>
      <w:r>
        <w:rPr>
          <w:rFonts w:ascii="Times New Roman" w:hAnsi="Times New Roman"/>
          <w:b w:val="0"/>
          <w:i w:val="0"/>
          <w:sz w:val="24"/>
        </w:rPr>
        <w:t>Dear Editor,</w:t>
      </w:r>
    </w:p>
    <w:p>
      <w:pPr>
        <w:spacing w:after="120"/>
        <w:jc w:val="both"/>
      </w:pPr>
      <w:r>
        <w:rPr>
          <w:rFonts w:ascii="Times New Roman" w:hAnsi="Times New Roman"/>
          <w:b w:val="0"/>
          <w:i w:val="0"/>
          <w:sz w:val="24"/>
        </w:rPr>
        <w:t>Please consider our original article, entitled 'Burden of injuries in India from a public health perspective: state-level fatal-non-fatal decomposition, inequality, and surveillance-burden mismatch using GBD 2021 and official Indian secondary data', for publication in The National Medical Journal of India.</w:t>
      </w:r>
    </w:p>
    <w:p>
      <w:pPr>
        <w:spacing w:after="120"/>
        <w:jc w:val="both"/>
      </w:pPr>
      <w:r>
        <w:rPr>
          <w:rFonts w:ascii="Times New Roman" w:hAnsi="Times New Roman"/>
          <w:b w:val="0"/>
          <w:i w:val="0"/>
          <w:sz w:val="24"/>
        </w:rPr>
        <w:t>The manuscript makes five main contributions:</w:t>
      </w:r>
    </w:p>
    <w:p>
      <w:pPr>
        <w:pStyle w:val="ListBullet"/>
      </w:pPr>
      <w:r>
        <w:rPr>
          <w:rFonts w:ascii="Times New Roman" w:hAnsi="Times New Roman"/>
          <w:b w:val="0"/>
          <w:i w:val="0"/>
          <w:sz w:val="24"/>
        </w:rPr>
        <w:t>it quantifies state-level injury DALY burden across India using the available processed GBD subnational extract;</w:t>
      </w:r>
    </w:p>
    <w:p>
      <w:pPr>
        <w:pStyle w:val="ListBullet"/>
      </w:pPr>
      <w:r>
        <w:rPr>
          <w:rFonts w:ascii="Times New Roman" w:hAnsi="Times New Roman"/>
          <w:b w:val="0"/>
          <w:i w:val="0"/>
          <w:sz w:val="24"/>
        </w:rPr>
        <w:t>it distinguishes fatal and non-fatal burden through cause-specific disability fractions;</w:t>
      </w:r>
    </w:p>
    <w:p>
      <w:pPr>
        <w:pStyle w:val="ListBullet"/>
      </w:pPr>
      <w:r>
        <w:rPr>
          <w:rFonts w:ascii="Times New Roman" w:hAnsi="Times New Roman"/>
          <w:b w:val="0"/>
          <w:i w:val="0"/>
          <w:sz w:val="24"/>
        </w:rPr>
        <w:t>it introduces a Hidden Disability Burden Index to identify states whose burden is underestimated by mortality-centred surveillance;</w:t>
      </w:r>
    </w:p>
    <w:p>
      <w:pPr>
        <w:pStyle w:val="ListBullet"/>
      </w:pPr>
      <w:r>
        <w:rPr>
          <w:rFonts w:ascii="Times New Roman" w:hAnsi="Times New Roman"/>
          <w:b w:val="0"/>
          <w:i w:val="0"/>
          <w:sz w:val="24"/>
        </w:rPr>
        <w:t>it quantifies inter-state inequality and documents rank discordance between modelled burden and road-surveillance rankings;</w:t>
      </w:r>
    </w:p>
    <w:p>
      <w:pPr>
        <w:pStyle w:val="ListBullet"/>
      </w:pPr>
      <w:r>
        <w:rPr>
          <w:rFonts w:ascii="Times New Roman" w:hAnsi="Times New Roman"/>
          <w:b w:val="0"/>
          <w:i w:val="0"/>
          <w:sz w:val="24"/>
        </w:rPr>
        <w:t>it is accompanied by a public reproducibility repository containing code, processed outputs and submission assets (https://github.com/hssling/injury-india-public-health).</w:t>
      </w:r>
    </w:p>
    <w:p>
      <w:pPr>
        <w:spacing w:after="120"/>
        <w:jc w:val="both"/>
      </w:pPr>
      <w:r>
        <w:rPr>
          <w:rFonts w:ascii="Times New Roman" w:hAnsi="Times New Roman"/>
          <w:b w:val="0"/>
          <w:i w:val="0"/>
          <w:sz w:val="24"/>
        </w:rPr>
        <w:t>The work is original, has not been published elsewhere, and is not under consideration by another journal. It uses only public aggregated secondary data, required no ethics approval, received no external funding and has no competing interests.</w:t>
      </w:r>
    </w:p>
    <w:p>
      <w:pPr>
        <w:spacing w:after="120"/>
        <w:jc w:val="both"/>
      </w:pPr>
      <w:r>
        <w:rPr>
          <w:rFonts w:ascii="Times New Roman" w:hAnsi="Times New Roman"/>
          <w:b w:val="0"/>
          <w:i w:val="0"/>
          <w:sz w:val="24"/>
        </w:rPr>
        <w:t>Suggested reviewers with relevant expertise and no known conflict are:</w:t>
      </w:r>
    </w:p>
    <w:p>
      <w:pPr>
        <w:pStyle w:val="ListBullet"/>
      </w:pPr>
      <w:r>
        <w:rPr>
          <w:rFonts w:ascii="Times New Roman" w:hAnsi="Times New Roman"/>
          <w:b w:val="0"/>
          <w:i w:val="0"/>
          <w:sz w:val="24"/>
        </w:rPr>
        <w:t>Prof. G. Gururaj, Bengaluru, India</w:t>
      </w:r>
    </w:p>
    <w:p>
      <w:pPr>
        <w:pStyle w:val="ListBullet"/>
      </w:pPr>
      <w:r>
        <w:rPr>
          <w:rFonts w:ascii="Times New Roman" w:hAnsi="Times New Roman"/>
          <w:b w:val="0"/>
          <w:i w:val="0"/>
          <w:sz w:val="24"/>
        </w:rPr>
        <w:t>Dr. Rakhi Dandona, Hyderabad, India</w:t>
      </w:r>
    </w:p>
    <w:p>
      <w:pPr>
        <w:pStyle w:val="ListBullet"/>
      </w:pPr>
      <w:r>
        <w:rPr>
          <w:rFonts w:ascii="Times New Roman" w:hAnsi="Times New Roman"/>
          <w:b w:val="0"/>
          <w:i w:val="0"/>
          <w:sz w:val="24"/>
        </w:rPr>
        <w:t>Dr. Shailaja Tetali, Hyderabad, India</w:t>
      </w:r>
    </w:p>
    <w:p>
      <w:pPr>
        <w:spacing w:after="120"/>
        <w:jc w:val="both"/>
      </w:pPr>
      <w:r>
        <w:rPr>
          <w:rFonts w:ascii="Times New Roman" w:hAnsi="Times New Roman"/>
          <w:b w:val="0"/>
          <w:i w:val="0"/>
          <w:sz w:val="24"/>
        </w:rPr>
        <w:t>Yours sincerely,</w:t>
      </w:r>
    </w:p>
    <w:p>
      <w:pPr>
        <w:spacing w:after="120"/>
        <w:jc w:val="both"/>
      </w:pPr>
      <w:r>
        <w:rPr>
          <w:rFonts w:ascii="Times New Roman" w:hAnsi="Times New Roman"/>
          <w:b w:val="0"/>
          <w:i w:val="0"/>
          <w:sz w:val="24"/>
        </w:rPr>
        <w:t>Siddalingaiah H S</w:t>
      </w:r>
    </w:p>
    <w:p>
      <w:pPr>
        <w:spacing w:after="120"/>
        <w:jc w:val="both"/>
      </w:pPr>
      <w:r>
        <w:rPr>
          <w:rFonts w:ascii="Times New Roman" w:hAnsi="Times New Roman"/>
          <w:b w:val="0"/>
          <w:i w:val="0"/>
          <w:sz w:val="24"/>
        </w:rPr>
        <w:t>Department of Community Medicine, Shridevi Institute of Medical Sciences and Research Hospital, Tumkur, Karnataka, India</w:t>
      </w:r>
    </w:p>
    <w:p>
      <w:pPr>
        <w:spacing w:after="120"/>
        <w:jc w:val="both"/>
      </w:pPr>
      <w:r>
        <w:rPr>
          <w:rFonts w:ascii="Times New Roman" w:hAnsi="Times New Roman"/>
          <w:b w:val="0"/>
          <w:i w:val="0"/>
          <w:sz w:val="24"/>
        </w:rPr>
        <w:t>hssling@yahoo.com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