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Times New Roman" w:hAnsi="Times New Roman"/>
          <w:b/>
          <w:i w:val="0"/>
          <w:sz w:val="28"/>
        </w:rPr>
        <w:t>Burden of injuries in India from a public health perspective: state-level fatal-non-fatal decomposition, inequality, and surveillance-burden mismatch using GBD 2021 and official Indian secondary data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sz w:val="22"/>
        </w:rPr>
        <w:t>Short title: State-level injury burden in India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sz w:val="24"/>
        </w:rPr>
        <w:t>Siddalingaiah H S¹</w:t>
      </w:r>
    </w:p>
    <w:p>
      <w:pPr>
        <w:spacing w:after="280"/>
        <w:jc w:val="center"/>
      </w:pPr>
      <w:r>
        <w:rPr>
          <w:rFonts w:ascii="Times New Roman" w:hAnsi="Times New Roman"/>
          <w:b w:val="0"/>
          <w:i w:val="0"/>
          <w:sz w:val="22"/>
        </w:rPr>
        <w:t>¹ Department of Community Medicine, Shridevi Institute of Medical Sciences and Research Hospital, Tumkur, Karnataka, India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2"/>
        </w:rPr>
        <w:t>Corresponding author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2"/>
        </w:rPr>
        <w:t>Siddalingaiah H S</w:t>
        <w:br/>
        <w:t>Shridevi Institute of Medical Sciences and Research Hospital, Tumkur, Karnataka, India</w:t>
        <w:br/>
        <w:t>Email: hssling@yahoo.com</w:t>
        <w:br/>
        <w:t>Phone: +91 8941087719</w:t>
        <w:br/>
        <w:t>ORCID: 0000-0002-4771-8285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2"/>
        </w:rPr>
        <w:t>Article type: Original article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2"/>
        </w:rPr>
        <w:t>Word count: Abstract ~280 words; main text ~1800 words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2"/>
        </w:rPr>
        <w:t>Main display items: 3 tables and 2 figures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2"/>
        </w:rPr>
        <w:t>Supplementary items: 3 tables and 4 figures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2"/>
        </w:rPr>
        <w:t>Funding: None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2"/>
        </w:rPr>
        <w:t>Conflicts of interest: None declared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2"/>
        </w:rPr>
        <w:t>Data and code availability: https://github.com/hssling/injury-india-public-health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2"/>
        </w:rPr>
        <w:t>Submission date: 24 April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