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28"/>
        </w:rPr>
        <w:t>Burden of injuries in India from a public health perspective: state-level fatal-non-fatal decomposition, inequality, and surveillance-burden mismatch using GBD 2021 and official Indian secondary data</w:t>
      </w:r>
    </w:p>
    <w:p>
      <w:pPr>
        <w:spacing w:before="160" w:after="80"/>
      </w:pPr>
      <w:r>
        <w:rPr>
          <w:rFonts w:ascii="Times New Roman" w:hAnsi="Times New Roman"/>
          <w:b/>
          <w:i w:val="0"/>
          <w:sz w:val="24"/>
        </w:rPr>
        <w:t>ABSTRACT</w:t>
      </w:r>
    </w:p>
    <w:p>
      <w:pPr>
        <w:spacing w:after="120"/>
        <w:jc w:val="both"/>
      </w:pPr>
      <w:r>
        <w:rPr>
          <w:rFonts w:ascii="Times New Roman" w:hAnsi="Times New Roman"/>
          <w:b w:val="0"/>
          <w:i w:val="0"/>
          <w:sz w:val="24"/>
        </w:rPr>
        <w:t>Background. Injuries remain a major cause of premature mortality and disability in India, but most routine surveillance remains death-centred and road-focused¹⁻⁶. We quantified subnational injury burden, examined the balance between mortality and disability, and compared modelled burden with administrative surveillance patterns.</w:t>
      </w:r>
    </w:p>
    <w:p>
      <w:pPr>
        <w:spacing w:after="120"/>
        <w:jc w:val="both"/>
      </w:pPr>
      <w:r>
        <w:rPr>
          <w:rFonts w:ascii="Times New Roman" w:hAnsi="Times New Roman"/>
          <w:b w:val="0"/>
          <w:i w:val="0"/>
          <w:sz w:val="24"/>
        </w:rPr>
        <w:t>Methods. We analysed publicly available GBD 2021 subnational estimates released through the GBD 2023 platform for 31 Indian state or state-equivalent units, together with Ministry of Road Transport and Highways (MoRTH) road-death counts and National Crime Records Bureau (NCRB) accidental death data²˒⁵˒⁶˒¹¹. We summarised DALYs, deaths, YLDs and YLLs for 2021; calculated YLD fractions by cause; derived a Hidden Disability Burden Index (HDBI) as the state-level z-score difference between YLD rate and death rate; quantified inequality using NCRB accidental death rates; and assessed road-injury surveillance mismatch using state rank differences between GBD road DALYs and MoRTH road deaths.</w:t>
      </w:r>
    </w:p>
    <w:p>
      <w:pPr>
        <w:spacing w:after="120"/>
        <w:jc w:val="both"/>
      </w:pPr>
      <w:r>
        <w:rPr>
          <w:rFonts w:ascii="Times New Roman" w:hAnsi="Times New Roman"/>
          <w:b w:val="0"/>
          <w:i w:val="0"/>
          <w:sz w:val="24"/>
        </w:rPr>
        <w:t>Results. Across included states, injuries accounted for 55.4 million DALYs, 998,854 deaths and 10.5 million YLDs in 2021. Age-standardised DALY rates ranged from 2296 per 100,000 in Delhi to 5972 in Telangana. The median YLD fraction across all-injury state observations was 18.9%; median cause-specific YLD fractions were highest for falls (51.0%) and lowest for drowning (0.6%). Nine states were disability-prominent on HDBI, led by Tamil Nadu, while Telangana showed the strongest mortality-prominent profile. National road-death totals were similar in MoRTH and NCRB, but state ranking discordance was substantial.</w:t>
      </w:r>
    </w:p>
    <w:p>
      <w:pPr>
        <w:spacing w:after="120"/>
        <w:jc w:val="both"/>
      </w:pPr>
      <w:r>
        <w:rPr>
          <w:rFonts w:ascii="Times New Roman" w:hAnsi="Times New Roman"/>
          <w:b w:val="0"/>
          <w:i w:val="0"/>
          <w:sz w:val="24"/>
        </w:rPr>
        <w:t>Conclusions. A mortality-only view understates India’s injury burden. State priorities differ depending on whether burden is measured through deaths or disability, and supplementary burden metrics should inform injury prevention, rehabilitation planning and surveillance reform.</w:t>
      </w:r>
    </w:p>
    <w:p>
      <w:pPr>
        <w:spacing w:before="160" w:after="80"/>
      </w:pPr>
      <w:r>
        <w:rPr>
          <w:rFonts w:ascii="Times New Roman" w:hAnsi="Times New Roman"/>
          <w:b/>
          <w:i w:val="0"/>
          <w:sz w:val="24"/>
        </w:rPr>
        <w:t>INTRODUCTION</w:t>
      </w:r>
    </w:p>
    <w:p>
      <w:pPr>
        <w:spacing w:after="120"/>
        <w:jc w:val="both"/>
      </w:pPr>
      <w:r>
        <w:rPr>
          <w:rFonts w:ascii="Times New Roman" w:hAnsi="Times New Roman"/>
          <w:b w:val="0"/>
          <w:i w:val="0"/>
          <w:sz w:val="24"/>
        </w:rPr>
        <w:t>Injuries are among the most important causes of health loss in India and disproportionately affect working-age populations¹⁻⁴. The public-health implications extend beyond deaths: survivors of falls, burns, self-harm and other injuries often live with long-term disability that is not captured in routine administrative reporting¹⁻⁴˒⁷.</w:t>
      </w:r>
    </w:p>
    <w:p>
      <w:pPr>
        <w:spacing w:after="120"/>
        <w:jc w:val="both"/>
      </w:pPr>
      <w:r>
        <w:rPr>
          <w:rFonts w:ascii="Times New Roman" w:hAnsi="Times New Roman"/>
          <w:b w:val="0"/>
          <w:i w:val="0"/>
          <w:sz w:val="24"/>
        </w:rPr>
        <w:t>India’s routinely cited injury datasets remain fragmented. MoRTH reports police-recorded road crashes and deaths, while NCRB reports accidental deaths and suicides by cause⁵˒⁶. These sources are valuable but do not quantify disability-adjusted life years (DALYs), years lived with disability (YLDs) or years of life lost (YLLs). As a result, rehabilitation needs can be systematically under-recognised.</w:t>
      </w:r>
    </w:p>
    <w:p>
      <w:pPr>
        <w:spacing w:after="120"/>
        <w:jc w:val="both"/>
      </w:pPr>
      <w:r>
        <w:rPr>
          <w:rFonts w:ascii="Times New Roman" w:hAnsi="Times New Roman"/>
          <w:b w:val="0"/>
          <w:i w:val="0"/>
          <w:sz w:val="24"/>
        </w:rPr>
        <w:t>GBD 2021 subnational estimates provide a common framework for comparing injury burden across states and for decomposing burden into fatal and non-fatal components²⁻⁴˒¹¹. We therefore undertook a state-level public-health analysis with four objectives: to quantify injury burden, to identify states where disability burden is disproportionately high relative to mortality burden, to measure inter-state inequality, and to examine the mismatch between modelled health burden and administrative road-injury surveillance.</w:t>
      </w:r>
    </w:p>
    <w:p>
      <w:pPr>
        <w:spacing w:before="160" w:after="80"/>
      </w:pPr>
      <w:r>
        <w:rPr>
          <w:rFonts w:ascii="Times New Roman" w:hAnsi="Times New Roman"/>
          <w:b/>
          <w:i w:val="0"/>
          <w:sz w:val="24"/>
        </w:rPr>
        <w:t>METHODS</w:t>
      </w:r>
    </w:p>
    <w:p>
      <w:pPr>
        <w:spacing w:after="120"/>
        <w:jc w:val="both"/>
      </w:pPr>
      <w:r>
        <w:rPr>
          <w:rFonts w:ascii="Times New Roman" w:hAnsi="Times New Roman"/>
          <w:b w:val="0"/>
          <w:i w:val="0"/>
          <w:sz w:val="24"/>
        </w:rPr>
        <w:t>This was an ecological secondary-data analysis using only publicly available, de-identified, aggregated data. The primary dataset was the GBD 2021 subnational extract for India accessed through the GBD 2023 interface²˒¹¹. We restricted the main analysis to 2021, both sexes combined, all ages, and the all-injuries grouping, with additional cause-specific summaries for road injuries, falls, drowning, burns, poisoning, self-harm, violence and other unintentional injuries.</w:t>
      </w:r>
    </w:p>
    <w:p>
      <w:pPr>
        <w:spacing w:after="120"/>
        <w:jc w:val="both"/>
      </w:pPr>
      <w:r>
        <w:rPr>
          <w:rFonts w:ascii="Times New Roman" w:hAnsi="Times New Roman"/>
          <w:b w:val="0"/>
          <w:i w:val="0"/>
          <w:sz w:val="24"/>
        </w:rPr>
        <w:t>Administrative comparators were MoRTH Road Accidents in India 2023 and NCRB Accidental Deaths and Suicides in India 2023⁵˒⁶. State names were harmonised using a fixed crosswalk. Jammu &amp; Kashmir and Ladakh remain combined in the GBD extract; smaller union territories were aggregated where required for mapping and summary tables.</w:t>
      </w:r>
    </w:p>
    <w:p>
      <w:pPr>
        <w:spacing w:after="120"/>
        <w:jc w:val="both"/>
      </w:pPr>
      <w:r>
        <w:rPr>
          <w:rFonts w:ascii="Times New Roman" w:hAnsi="Times New Roman"/>
          <w:b w:val="0"/>
          <w:i w:val="0"/>
          <w:sz w:val="24"/>
        </w:rPr>
        <w:t>For each state we extracted DALYs, deaths, YLDs and YLLs and calculated the YLD fraction as YLDs divided by DALYs. The Hidden Disability Burden Index (HDBI) was defined as the z-score of YLD rate minus the z-score of death rate; positive values indicate states whose disability burden is relatively greater than their mortality burden. Inequality was assessed from NCRB accidental death rates using the coefficient of variation, median, extremes and the top-to-bottom ratio. Road surveillance mismatch was assessed by ranking states on GBD road DALYs and MoRTH road deaths and examining absolute rank differences.</w:t>
      </w:r>
    </w:p>
    <w:p>
      <w:pPr>
        <w:spacing w:after="120"/>
        <w:jc w:val="both"/>
      </w:pPr>
      <w:r>
        <w:rPr>
          <w:rFonts w:ascii="Times New Roman" w:hAnsi="Times New Roman"/>
          <w:b w:val="0"/>
          <w:i w:val="0"/>
          <w:sz w:val="24"/>
        </w:rPr>
        <w:t>Analyses and document assembly were performed in Python. No individual-level data were used; therefore institutional ethics approval was not required.</w:t>
      </w:r>
    </w:p>
    <w:p>
      <w:pPr>
        <w:spacing w:before="160" w:after="80"/>
      </w:pPr>
      <w:r>
        <w:rPr>
          <w:rFonts w:ascii="Times New Roman" w:hAnsi="Times New Roman"/>
          <w:b/>
          <w:i w:val="0"/>
          <w:sz w:val="24"/>
        </w:rPr>
        <w:t>RESULTS</w:t>
      </w:r>
    </w:p>
    <w:p>
      <w:pPr>
        <w:spacing w:after="120"/>
        <w:jc w:val="both"/>
      </w:pPr>
      <w:r>
        <w:rPr>
          <w:rFonts w:ascii="Times New Roman" w:hAnsi="Times New Roman"/>
          <w:b w:val="0"/>
          <w:i w:val="0"/>
          <w:sz w:val="24"/>
        </w:rPr>
        <w:t>In 2021, the included state-level GBD estimates summed to 55.4 million DALYs, 998,854 deaths and 10.5 million YLDs. State-level age-standardised DALY rates varied markedly (Table 1; Fig 1), from 2296 per 100,000 in Delhi to 5972 in Telangana. The highest-burden states were Telangana, Chhattisgarh, Uttarakhand, Andhra Pradesh and Haryana, whereas Delhi, Mizoram, Sikkim, Kerala and Jammu &amp; Kashmir-Ladakh had the lowest rates.</w:t>
      </w:r>
    </w:p>
    <w:p>
      <w:pPr>
        <w:spacing w:after="120"/>
        <w:jc w:val="both"/>
      </w:pPr>
      <w:r>
        <w:rPr>
          <w:rFonts w:ascii="Times New Roman" w:hAnsi="Times New Roman"/>
          <w:b w:val="0"/>
          <w:i w:val="0"/>
          <w:sz w:val="24"/>
        </w:rPr>
        <w:t>The all-injury median YLD fraction across states was 18.9%. Cause composition showed a strong disability gradient: falls had a median YLD fraction of 51.0%, whereas drowning was almost entirely mortality-driven at 0.6%. This pattern supports the use of DALYs rather than deaths alone for state prioritisation.</w:t>
      </w:r>
    </w:p>
    <w:p>
      <w:pPr>
        <w:spacing w:after="120"/>
        <w:jc w:val="both"/>
      </w:pPr>
      <w:r>
        <w:rPr>
          <w:rFonts w:ascii="Times New Roman" w:hAnsi="Times New Roman"/>
          <w:b w:val="0"/>
          <w:i w:val="0"/>
          <w:sz w:val="24"/>
        </w:rPr>
        <w:t>The HDBI identified nine disability-prominent states, led by Tamil Nadu, Himachal Pradesh, Maharashtra and Kerala (Table 2; Fig 2). These states had comparatively high YLD rates even when their death rates were not the highest. In contrast, Telangana, Chhattisgarh, Uttarakhand, Gujarat and Jharkhand were strongly mortality-prominent. Supplementary Fig S3 shows the full state typology when disability and mortality rates are plotted jointly.</w:t>
      </w:r>
    </w:p>
    <w:p>
      <w:pPr>
        <w:spacing w:after="120"/>
        <w:jc w:val="both"/>
      </w:pPr>
      <w:r>
        <w:rPr>
          <w:rFonts w:ascii="Times New Roman" w:hAnsi="Times New Roman"/>
          <w:b w:val="0"/>
          <w:i w:val="0"/>
          <w:sz w:val="24"/>
        </w:rPr>
        <w:t>Inequality in injury burden remained substantial. Using NCRB accidental death rates, the mean was 31.9 per 100,000, the coefficient of variation was 0.569, and the top-to-bottom ratio was 23.6, with Ladakh at the top and Nagaland at the bottom. Supplementary Fig S2 shows the short trend series available from the GBD extract used here.</w:t>
      </w:r>
    </w:p>
    <w:p>
      <w:pPr>
        <w:spacing w:after="120"/>
        <w:jc w:val="both"/>
      </w:pPr>
      <w:r>
        <w:rPr>
          <w:rFonts w:ascii="Times New Roman" w:hAnsi="Times New Roman"/>
          <w:b w:val="0"/>
          <w:i w:val="0"/>
          <w:sz w:val="24"/>
        </w:rPr>
        <w:t>Road-injury surveillance was nationally concordant but subnationally discordant. MoRTH reported 172,890 road deaths and NCRB reported 173,826 road deaths in 2023, yet rank order differed materially from GBD road DALY rankings in several states. The largest mismatches were observed for Telangana, Gujarat, Bihar, Andhra Pradesh and Uttar Pradesh (Table 3; Supplementary Fig S4).</w:t>
      </w:r>
    </w:p>
    <w:p>
      <w:pPr>
        <w:spacing w:before="160" w:after="80"/>
      </w:pPr>
      <w:r>
        <w:rPr>
          <w:rFonts w:ascii="Times New Roman" w:hAnsi="Times New Roman"/>
          <w:b/>
          <w:i w:val="0"/>
          <w:sz w:val="24"/>
        </w:rPr>
        <w:t>DISCUSSION</w:t>
      </w:r>
    </w:p>
    <w:p>
      <w:pPr>
        <w:spacing w:after="120"/>
        <w:jc w:val="both"/>
      </w:pPr>
      <w:r>
        <w:rPr>
          <w:rFonts w:ascii="Times New Roman" w:hAnsi="Times New Roman"/>
          <w:b w:val="0"/>
          <w:i w:val="0"/>
          <w:sz w:val="24"/>
        </w:rPr>
        <w:t>This audit-strengthened submission makes three main points. First, the state-level burden of injuries in India is highly unequal. Second, non-fatal disability is large enough to change priority-setting when DALYs rather than deaths are used. Third, administrative surveillance and modelled burden broadly agree at the national level but not necessarily at the state level.</w:t>
      </w:r>
    </w:p>
    <w:p>
      <w:pPr>
        <w:spacing w:after="120"/>
        <w:jc w:val="both"/>
      </w:pPr>
      <w:r>
        <w:rPr>
          <w:rFonts w:ascii="Times New Roman" w:hAnsi="Times New Roman"/>
          <w:b w:val="0"/>
          <w:i w:val="0"/>
          <w:sz w:val="24"/>
        </w:rPr>
        <w:t>The HDBI highlights a policy blind spot. States with disability-prominent profiles may need greater investment in rehabilitation, fracture care follow-up, physiotherapy, burn care and mental-health aftercare even when their death counts do not appear extreme³˒⁷⁻¹⁰. By contrast, mortality-prominent states remain the most urgent targets for prevention of fatal road and other high-severity injuries.</w:t>
      </w:r>
    </w:p>
    <w:p>
      <w:pPr>
        <w:spacing w:after="120"/>
        <w:jc w:val="both"/>
      </w:pPr>
      <w:r>
        <w:rPr>
          <w:rFonts w:ascii="Times New Roman" w:hAnsi="Times New Roman"/>
          <w:b w:val="0"/>
          <w:i w:val="0"/>
          <w:sz w:val="24"/>
        </w:rPr>
        <w:t>The surveillance mismatch findings should not be overinterpreted as direct disagreement in absolute numbers because the administrative and GBD datasets differ in year, scope and method²˒⁵˒⁶˒¹¹. They are nevertheless useful for identifying states where a road-death-centred system may not reflect the overall injury burden well.</w:t>
      </w:r>
    </w:p>
    <w:p>
      <w:pPr>
        <w:spacing w:after="120"/>
        <w:jc w:val="both"/>
      </w:pPr>
      <w:r>
        <w:rPr>
          <w:rFonts w:ascii="Times New Roman" w:hAnsi="Times New Roman"/>
          <w:b w:val="0"/>
          <w:i w:val="0"/>
          <w:sz w:val="24"/>
        </w:rPr>
        <w:t>This study has limitations. The available GBD extract in the repository covered a short year range, so the trend figure is restricted to the available period rather than a full 2000-2021 reconstruction. Age-sex disaggregated national figures were not present in the local extract and were therefore not forced into the package. Administrative data are also subject to under-registration and definitional variation. These limitations were addressed by keeping unsupported visuals out of the main manuscript and shifting full state detail to supplementary material.</w:t>
      </w:r>
    </w:p>
    <w:p>
      <w:pPr>
        <w:spacing w:after="120"/>
        <w:jc w:val="both"/>
      </w:pPr>
      <w:r>
        <w:rPr>
          <w:rFonts w:ascii="Times New Roman" w:hAnsi="Times New Roman"/>
          <w:b w:val="0"/>
          <w:i w:val="0"/>
          <w:sz w:val="24"/>
        </w:rPr>
        <w:t>In conclusion, injuries in India require a broader public-health framing than road deaths alone. State-level planning should explicitly incorporate disability burden, and future surveillance reform should aim to link police, hospital and mortality records so that both fatal and non-fatal outcomes are visible.</w:t>
      </w:r>
    </w:p>
    <w:p>
      <w:pPr>
        <w:spacing w:before="160" w:after="80"/>
      </w:pPr>
      <w:r>
        <w:rPr>
          <w:rFonts w:ascii="Times New Roman" w:hAnsi="Times New Roman"/>
          <w:b/>
          <w:i w:val="0"/>
          <w:sz w:val="24"/>
        </w:rPr>
        <w:t>DECLARATIONS</w:t>
      </w:r>
    </w:p>
    <w:p>
      <w:pPr>
        <w:spacing w:after="120"/>
        <w:jc w:val="both"/>
      </w:pPr>
      <w:r>
        <w:rPr>
          <w:rFonts w:ascii="Times New Roman" w:hAnsi="Times New Roman"/>
          <w:b w:val="0"/>
          <w:i w:val="0"/>
          <w:sz w:val="24"/>
        </w:rPr>
        <w:t>Ethics approval and consent to participate: Not applicable. The study used only publicly available aggregated secondary data.</w:t>
      </w:r>
    </w:p>
    <w:p>
      <w:pPr>
        <w:spacing w:after="120"/>
        <w:jc w:val="both"/>
      </w:pPr>
      <w:r>
        <w:rPr>
          <w:rFonts w:ascii="Times New Roman" w:hAnsi="Times New Roman"/>
          <w:b w:val="0"/>
          <w:i w:val="0"/>
          <w:sz w:val="24"/>
        </w:rPr>
        <w:t>Consent for publication: Not applicable.</w:t>
      </w:r>
    </w:p>
    <w:p>
      <w:pPr>
        <w:spacing w:after="120"/>
        <w:jc w:val="both"/>
      </w:pPr>
      <w:r>
        <w:rPr>
          <w:rFonts w:ascii="Times New Roman" w:hAnsi="Times New Roman"/>
          <w:b w:val="0"/>
          <w:i w:val="0"/>
          <w:sz w:val="24"/>
        </w:rPr>
        <w:t>Availability of data and materials: Source data were obtained from the IHME GBD Results Tool, MoRTH and NCRB. Code, processed data and submission assets are available at https://github.com/hssling/injury-india-public-health.</w:t>
      </w:r>
    </w:p>
    <w:p>
      <w:pPr>
        <w:spacing w:after="120"/>
        <w:jc w:val="both"/>
      </w:pPr>
      <w:r>
        <w:rPr>
          <w:rFonts w:ascii="Times New Roman" w:hAnsi="Times New Roman"/>
          <w:b w:val="0"/>
          <w:i w:val="0"/>
          <w:sz w:val="24"/>
        </w:rPr>
        <w:t>Competing interests: None declared.</w:t>
      </w:r>
    </w:p>
    <w:p>
      <w:pPr>
        <w:spacing w:after="120"/>
        <w:jc w:val="both"/>
      </w:pPr>
      <w:r>
        <w:rPr>
          <w:rFonts w:ascii="Times New Roman" w:hAnsi="Times New Roman"/>
          <w:b w:val="0"/>
          <w:i w:val="0"/>
          <w:sz w:val="24"/>
        </w:rPr>
        <w:t>Funding: No specific funding was received.</w:t>
      </w:r>
    </w:p>
    <w:p>
      <w:pPr>
        <w:spacing w:after="120"/>
        <w:jc w:val="both"/>
      </w:pPr>
      <w:r>
        <w:rPr>
          <w:rFonts w:ascii="Times New Roman" w:hAnsi="Times New Roman"/>
          <w:b w:val="0"/>
          <w:i w:val="0"/>
          <w:sz w:val="24"/>
        </w:rPr>
        <w:t>Author contributions: Siddalingaiah H S conceived the study, curated data, ran analyses, prepared figures, drafted the manuscript and approved the final version.</w:t>
      </w:r>
    </w:p>
    <w:p>
      <w:pPr>
        <w:spacing w:after="120"/>
        <w:jc w:val="both"/>
      </w:pPr>
      <w:r>
        <w:rPr>
          <w:rFonts w:ascii="Times New Roman" w:hAnsi="Times New Roman"/>
          <w:b w:val="0"/>
          <w:i w:val="0"/>
          <w:sz w:val="24"/>
        </w:rPr>
        <w:t>Acknowledgements: The author acknowledges IHME, MoRTH and NCRB for making the underlying data publicly available.</w:t>
      </w:r>
    </w:p>
    <w:p>
      <w:pPr>
        <w:spacing w:before="160" w:after="80"/>
      </w:pPr>
      <w:r>
        <w:rPr>
          <w:rFonts w:ascii="Times New Roman" w:hAnsi="Times New Roman"/>
          <w:b/>
          <w:i w:val="0"/>
          <w:sz w:val="24"/>
        </w:rPr>
        <w:t>REFERENCES</w:t>
      </w:r>
    </w:p>
    <w:p>
      <w:pPr>
        <w:spacing w:after="60"/>
        <w:ind w:left="360" w:hanging="360"/>
      </w:pPr>
      <w:r>
        <w:rPr>
          <w:rFonts w:ascii="Times New Roman" w:hAnsi="Times New Roman"/>
          <w:b/>
          <w:i w:val="0"/>
          <w:sz w:val="20"/>
        </w:rPr>
        <w:t xml:space="preserve">1. </w:t>
      </w:r>
      <w:r>
        <w:rPr>
          <w:rFonts w:ascii="Times New Roman" w:hAnsi="Times New Roman"/>
          <w:b w:val="0"/>
          <w:i w:val="0"/>
          <w:sz w:val="20"/>
        </w:rPr>
        <w:t>GBD 2019 Diseases and Injuries Collaborators. Global burden of 369 diseases and injuries in 204 countries and territories, 1990-2019: a systematic analysis for the Global Burden of Disease Study 2019. Lancet 2020;396:1204-22.</w:t>
      </w:r>
    </w:p>
    <w:p>
      <w:pPr>
        <w:spacing w:after="60"/>
        <w:ind w:left="360" w:hanging="360"/>
      </w:pPr>
      <w:r>
        <w:rPr>
          <w:rFonts w:ascii="Times New Roman" w:hAnsi="Times New Roman"/>
          <w:b/>
          <w:i w:val="0"/>
          <w:sz w:val="20"/>
        </w:rPr>
        <w:t xml:space="preserve">2. </w:t>
      </w:r>
      <w:r>
        <w:rPr>
          <w:rFonts w:ascii="Times New Roman" w:hAnsi="Times New Roman"/>
          <w:b w:val="0"/>
          <w:i w:val="0"/>
          <w:sz w:val="20"/>
        </w:rPr>
        <w:t>GBD 2021 Collaborators. Global incidence, prevalence, years lived with disability, disability-adjusted life-years, and healthy life expectancy for 371 diseases and injuries in 204 countries and territories, 1990-2021. Lancet 2024;403:2133-61.</w:t>
      </w:r>
    </w:p>
    <w:p>
      <w:pPr>
        <w:spacing w:after="60"/>
        <w:ind w:left="360" w:hanging="360"/>
      </w:pPr>
      <w:r>
        <w:rPr>
          <w:rFonts w:ascii="Times New Roman" w:hAnsi="Times New Roman"/>
          <w:b/>
          <w:i w:val="0"/>
          <w:sz w:val="20"/>
        </w:rPr>
        <w:t xml:space="preserve">3. </w:t>
      </w:r>
      <w:r>
        <w:rPr>
          <w:rFonts w:ascii="Times New Roman" w:hAnsi="Times New Roman"/>
          <w:b w:val="0"/>
          <w:i w:val="0"/>
          <w:sz w:val="20"/>
        </w:rPr>
        <w:t>India State-Level Disease Burden Initiative Collaborators. The burden of diseases and risk factors in the states of India, 1990-2016. Lancet 2017;390:2437-60.</w:t>
      </w:r>
    </w:p>
    <w:p>
      <w:pPr>
        <w:spacing w:after="60"/>
        <w:ind w:left="360" w:hanging="360"/>
      </w:pPr>
      <w:r>
        <w:rPr>
          <w:rFonts w:ascii="Times New Roman" w:hAnsi="Times New Roman"/>
          <w:b/>
          <w:i w:val="0"/>
          <w:sz w:val="20"/>
        </w:rPr>
        <w:t xml:space="preserve">4. </w:t>
      </w:r>
      <w:r>
        <w:rPr>
          <w:rFonts w:ascii="Times New Roman" w:hAnsi="Times New Roman"/>
          <w:b w:val="0"/>
          <w:i w:val="0"/>
          <w:sz w:val="20"/>
        </w:rPr>
        <w:t>India State-Level Disease Burden Initiative Injuries Collaborators. The burden of injuries and their aetiologies in India, 1990-2017. Lancet Public Health 2020;5:e96-e106.</w:t>
      </w:r>
    </w:p>
    <w:p>
      <w:pPr>
        <w:spacing w:after="60"/>
        <w:ind w:left="360" w:hanging="360"/>
      </w:pPr>
      <w:r>
        <w:rPr>
          <w:rFonts w:ascii="Times New Roman" w:hAnsi="Times New Roman"/>
          <w:b/>
          <w:i w:val="0"/>
          <w:sz w:val="20"/>
        </w:rPr>
        <w:t xml:space="preserve">5. </w:t>
      </w:r>
      <w:r>
        <w:rPr>
          <w:rFonts w:ascii="Times New Roman" w:hAnsi="Times New Roman"/>
          <w:b w:val="0"/>
          <w:i w:val="0"/>
          <w:sz w:val="20"/>
        </w:rPr>
        <w:t>Ministry of Road Transport and Highways. Road Accidents in India 2023. New Delhi: Government of India; 2024.</w:t>
      </w:r>
    </w:p>
    <w:p>
      <w:pPr>
        <w:spacing w:after="60"/>
        <w:ind w:left="360" w:hanging="360"/>
      </w:pPr>
      <w:r>
        <w:rPr>
          <w:rFonts w:ascii="Times New Roman" w:hAnsi="Times New Roman"/>
          <w:b/>
          <w:i w:val="0"/>
          <w:sz w:val="20"/>
        </w:rPr>
        <w:t xml:space="preserve">6. </w:t>
      </w:r>
      <w:r>
        <w:rPr>
          <w:rFonts w:ascii="Times New Roman" w:hAnsi="Times New Roman"/>
          <w:b w:val="0"/>
          <w:i w:val="0"/>
          <w:sz w:val="20"/>
        </w:rPr>
        <w:t>National Crime Records Bureau. Accidental Deaths and Suicides in India 2023. New Delhi: Ministry of Home Affairs, Government of India; 2024.</w:t>
      </w:r>
    </w:p>
    <w:p>
      <w:pPr>
        <w:spacing w:after="60"/>
        <w:ind w:left="360" w:hanging="360"/>
      </w:pPr>
      <w:r>
        <w:rPr>
          <w:rFonts w:ascii="Times New Roman" w:hAnsi="Times New Roman"/>
          <w:b/>
          <w:i w:val="0"/>
          <w:sz w:val="20"/>
        </w:rPr>
        <w:t xml:space="preserve">7. </w:t>
      </w:r>
      <w:r>
        <w:rPr>
          <w:rFonts w:ascii="Times New Roman" w:hAnsi="Times New Roman"/>
          <w:b w:val="0"/>
          <w:i w:val="0"/>
          <w:sz w:val="20"/>
        </w:rPr>
        <w:t>Gururaj G. Road traffic deaths, injuries and disabilities in India: current scenario. Natl Med J India 2008;21:14-20.</w:t>
      </w:r>
    </w:p>
    <w:p>
      <w:pPr>
        <w:spacing w:after="60"/>
        <w:ind w:left="360" w:hanging="360"/>
      </w:pPr>
      <w:r>
        <w:rPr>
          <w:rFonts w:ascii="Times New Roman" w:hAnsi="Times New Roman"/>
          <w:b/>
          <w:i w:val="0"/>
          <w:sz w:val="20"/>
        </w:rPr>
        <w:t xml:space="preserve">8. </w:t>
      </w:r>
      <w:r>
        <w:rPr>
          <w:rFonts w:ascii="Times New Roman" w:hAnsi="Times New Roman"/>
          <w:b w:val="0"/>
          <w:i w:val="0"/>
          <w:sz w:val="20"/>
        </w:rPr>
        <w:t>Patel V, Ramasundarahettige C, Vijayakumar L, Thakur JS, Gajalakshmi V, Gururaj G, et al. Suicide mortality in India: a nationally representative survey. Lancet 2012;379:2343-51.</w:t>
      </w:r>
    </w:p>
    <w:p>
      <w:pPr>
        <w:spacing w:after="60"/>
        <w:ind w:left="360" w:hanging="360"/>
      </w:pPr>
      <w:r>
        <w:rPr>
          <w:rFonts w:ascii="Times New Roman" w:hAnsi="Times New Roman"/>
          <w:b/>
          <w:i w:val="0"/>
          <w:sz w:val="20"/>
        </w:rPr>
        <w:t xml:space="preserve">9. </w:t>
      </w:r>
      <w:r>
        <w:rPr>
          <w:rFonts w:ascii="Times New Roman" w:hAnsi="Times New Roman"/>
          <w:b w:val="0"/>
          <w:i w:val="0"/>
          <w:sz w:val="20"/>
        </w:rPr>
        <w:t>Hyder AA, Borse NN, Blum L, Khan R, El Arifeen S, Baqui AH. Childhood drowning in low- and middle-income countries: urgent need for intervention trials. J Paediatr Child Health 2008;44:221-7.</w:t>
      </w:r>
    </w:p>
    <w:p>
      <w:pPr>
        <w:spacing w:after="60"/>
        <w:ind w:left="360" w:hanging="360"/>
      </w:pPr>
      <w:r>
        <w:rPr>
          <w:rFonts w:ascii="Times New Roman" w:hAnsi="Times New Roman"/>
          <w:b/>
          <w:i w:val="0"/>
          <w:sz w:val="20"/>
        </w:rPr>
        <w:t xml:space="preserve">10. </w:t>
      </w:r>
      <w:r>
        <w:rPr>
          <w:rFonts w:ascii="Times New Roman" w:hAnsi="Times New Roman"/>
          <w:b w:val="0"/>
          <w:i w:val="0"/>
          <w:sz w:val="20"/>
        </w:rPr>
        <w:t>World Health Organization. Drowning: key facts. Geneva: WHO; 2023.</w:t>
      </w:r>
    </w:p>
    <w:p>
      <w:pPr>
        <w:spacing w:after="60"/>
        <w:ind w:left="360" w:hanging="360"/>
      </w:pPr>
      <w:r>
        <w:rPr>
          <w:rFonts w:ascii="Times New Roman" w:hAnsi="Times New Roman"/>
          <w:b/>
          <w:i w:val="0"/>
          <w:sz w:val="20"/>
        </w:rPr>
        <w:t xml:space="preserve">11. </w:t>
      </w:r>
      <w:r>
        <w:rPr>
          <w:rFonts w:ascii="Times New Roman" w:hAnsi="Times New Roman"/>
          <w:b w:val="0"/>
          <w:i w:val="0"/>
          <w:sz w:val="20"/>
        </w:rPr>
        <w:t>Institute for Health Metrics and Evaluation. GBD Results Tool. Seattle, WA: IHME. Available from: https://ghdx.healthdata.org/gbd-results. Accessed 24 April 2026.</w:t>
      </w:r>
    </w:p>
    <w:p>
      <w:pPr>
        <w:spacing w:before="160" w:after="80"/>
      </w:pPr>
      <w:r>
        <w:rPr>
          <w:rFonts w:ascii="Times New Roman" w:hAnsi="Times New Roman"/>
          <w:b/>
          <w:i w:val="0"/>
          <w:sz w:val="24"/>
        </w:rPr>
        <w:t>TABLES</w:t>
      </w:r>
    </w:p>
    <w:p>
      <w:pPr>
        <w:spacing w:before="160" w:after="80"/>
      </w:pPr>
      <w:r>
        <w:rPr>
          <w:rFonts w:ascii="Times New Roman" w:hAnsi="Times New Roman"/>
          <w:b/>
          <w:i w:val="0"/>
          <w:sz w:val="22"/>
        </w:rPr>
        <w:t>Table 1. State-level injury burden in 2021: five highest-rate and five lowest-rate jurisdictions.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fill="D9EAF7"/>
          </w:tcPr>
          <w:p>
            <w:pPr>
              <w:jc w:val="center"/>
            </w:pPr>
            <w:r>
              <w:rPr>
                <w:rFonts w:ascii="Times New Roman" w:hAnsi="Times New Roman"/>
                <w:b/>
                <w:i w:val="0"/>
                <w:sz w:val="18"/>
              </w:rPr>
              <w:t>State/UT</w:t>
            </w:r>
          </w:p>
        </w:tc>
        <w:tc>
          <w:tcPr>
            <w:tcW w:type="dxa" w:w="1296"/>
            <w:shd w:fill="D9EAF7"/>
          </w:tcPr>
          <w:p>
            <w:pPr>
              <w:jc w:val="center"/>
            </w:pPr>
            <w:r>
              <w:rPr>
                <w:rFonts w:ascii="Times New Roman" w:hAnsi="Times New Roman"/>
                <w:b/>
                <w:i w:val="0"/>
                <w:sz w:val="18"/>
              </w:rPr>
              <w:t>DALY rate</w:t>
            </w:r>
          </w:p>
        </w:tc>
        <w:tc>
          <w:tcPr>
            <w:tcW w:type="dxa" w:w="1296"/>
            <w:shd w:fill="D9EAF7"/>
          </w:tcPr>
          <w:p>
            <w:pPr>
              <w:jc w:val="center"/>
            </w:pPr>
            <w:r>
              <w:rPr>
                <w:rFonts w:ascii="Times New Roman" w:hAnsi="Times New Roman"/>
                <w:b/>
                <w:i w:val="0"/>
                <w:sz w:val="18"/>
              </w:rPr>
              <w:t>Deaths</w:t>
            </w:r>
          </w:p>
        </w:tc>
        <w:tc>
          <w:tcPr>
            <w:tcW w:type="dxa" w:w="1296"/>
            <w:shd w:fill="D9EAF7"/>
          </w:tcPr>
          <w:p>
            <w:pPr>
              <w:jc w:val="center"/>
            </w:pPr>
            <w:r>
              <w:rPr>
                <w:rFonts w:ascii="Times New Roman" w:hAnsi="Times New Roman"/>
                <w:b/>
                <w:i w:val="0"/>
                <w:sz w:val="18"/>
              </w:rPr>
              <w:t>Death rate</w:t>
            </w:r>
          </w:p>
        </w:tc>
        <w:tc>
          <w:tcPr>
            <w:tcW w:type="dxa" w:w="1296"/>
            <w:shd w:fill="D9EAF7"/>
          </w:tcPr>
          <w:p>
            <w:pPr>
              <w:jc w:val="center"/>
            </w:pPr>
            <w:r>
              <w:rPr>
                <w:rFonts w:ascii="Times New Roman" w:hAnsi="Times New Roman"/>
                <w:b/>
                <w:i w:val="0"/>
                <w:sz w:val="18"/>
              </w:rPr>
              <w:t>YLD rate</w:t>
            </w:r>
          </w:p>
        </w:tc>
        <w:tc>
          <w:tcPr>
            <w:tcW w:type="dxa" w:w="1440"/>
            <w:shd w:fill="D9EAF7"/>
          </w:tcPr>
          <w:p>
            <w:pPr>
              <w:jc w:val="center"/>
            </w:pPr>
            <w:r>
              <w:rPr>
                <w:rFonts w:ascii="Times New Roman" w:hAnsi="Times New Roman"/>
                <w:b/>
                <w:i w:val="0"/>
                <w:sz w:val="18"/>
              </w:rPr>
              <w:t>YLD fraction (%)</w:t>
            </w:r>
          </w:p>
        </w:tc>
      </w:tr>
      <w:tr>
        <w:tc>
          <w:tcPr>
            <w:tcW w:type="dxa" w:w="3168"/>
          </w:tcPr>
          <w:p>
            <w:pPr>
              <w:jc w:val="left"/>
            </w:pPr>
            <w:r>
              <w:rPr>
                <w:rFonts w:ascii="Times New Roman" w:hAnsi="Times New Roman"/>
                <w:b w:val="0"/>
                <w:i w:val="0"/>
                <w:sz w:val="18"/>
              </w:rPr>
              <w:t>Telangana</w:t>
            </w:r>
          </w:p>
        </w:tc>
        <w:tc>
          <w:tcPr>
            <w:tcW w:type="dxa" w:w="1296"/>
          </w:tcPr>
          <w:p>
            <w:pPr>
              <w:jc w:val="center"/>
            </w:pPr>
            <w:r>
              <w:rPr>
                <w:rFonts w:ascii="Times New Roman" w:hAnsi="Times New Roman"/>
                <w:b w:val="0"/>
                <w:i w:val="0"/>
                <w:sz w:val="18"/>
              </w:rPr>
              <w:t>5972</w:t>
            </w:r>
          </w:p>
        </w:tc>
        <w:tc>
          <w:tcPr>
            <w:tcW w:type="dxa" w:w="1296"/>
          </w:tcPr>
          <w:p>
            <w:pPr>
              <w:jc w:val="center"/>
            </w:pPr>
            <w:r>
              <w:rPr>
                <w:rFonts w:ascii="Times New Roman" w:hAnsi="Times New Roman"/>
                <w:b w:val="0"/>
                <w:i w:val="0"/>
                <w:sz w:val="18"/>
              </w:rPr>
              <w:t>48536</w:t>
            </w:r>
          </w:p>
        </w:tc>
        <w:tc>
          <w:tcPr>
            <w:tcW w:type="dxa" w:w="1296"/>
          </w:tcPr>
          <w:p>
            <w:pPr>
              <w:jc w:val="center"/>
            </w:pPr>
            <w:r>
              <w:rPr>
                <w:rFonts w:ascii="Times New Roman" w:hAnsi="Times New Roman"/>
                <w:b w:val="0"/>
                <w:i w:val="0"/>
                <w:sz w:val="18"/>
              </w:rPr>
              <w:t>125.1</w:t>
            </w:r>
          </w:p>
        </w:tc>
        <w:tc>
          <w:tcPr>
            <w:tcW w:type="dxa" w:w="1296"/>
          </w:tcPr>
          <w:p>
            <w:pPr>
              <w:jc w:val="center"/>
            </w:pPr>
            <w:r>
              <w:rPr>
                <w:rFonts w:ascii="Times New Roman" w:hAnsi="Times New Roman"/>
                <w:b w:val="0"/>
                <w:i w:val="0"/>
                <w:sz w:val="18"/>
              </w:rPr>
              <w:t>747</w:t>
            </w:r>
          </w:p>
        </w:tc>
        <w:tc>
          <w:tcPr>
            <w:tcW w:type="dxa" w:w="1440"/>
          </w:tcPr>
          <w:p>
            <w:pPr>
              <w:jc w:val="center"/>
            </w:pPr>
            <w:r>
              <w:rPr>
                <w:rFonts w:ascii="Times New Roman" w:hAnsi="Times New Roman"/>
                <w:b w:val="0"/>
                <w:i w:val="0"/>
                <w:sz w:val="18"/>
              </w:rPr>
              <w:t>12.5</w:t>
            </w:r>
          </w:p>
        </w:tc>
      </w:tr>
      <w:tr>
        <w:tc>
          <w:tcPr>
            <w:tcW w:type="dxa" w:w="3168"/>
          </w:tcPr>
          <w:p>
            <w:pPr>
              <w:jc w:val="left"/>
            </w:pPr>
            <w:r>
              <w:rPr>
                <w:rFonts w:ascii="Times New Roman" w:hAnsi="Times New Roman"/>
                <w:b w:val="0"/>
                <w:i w:val="0"/>
                <w:sz w:val="18"/>
              </w:rPr>
              <w:t>Chhattisgarh</w:t>
            </w:r>
          </w:p>
        </w:tc>
        <w:tc>
          <w:tcPr>
            <w:tcW w:type="dxa" w:w="1296"/>
          </w:tcPr>
          <w:p>
            <w:pPr>
              <w:jc w:val="center"/>
            </w:pPr>
            <w:r>
              <w:rPr>
                <w:rFonts w:ascii="Times New Roman" w:hAnsi="Times New Roman"/>
                <w:b w:val="0"/>
                <w:i w:val="0"/>
                <w:sz w:val="18"/>
              </w:rPr>
              <w:t>5045</w:t>
            </w:r>
          </w:p>
        </w:tc>
        <w:tc>
          <w:tcPr>
            <w:tcW w:type="dxa" w:w="1296"/>
          </w:tcPr>
          <w:p>
            <w:pPr>
              <w:jc w:val="center"/>
            </w:pPr>
            <w:r>
              <w:rPr>
                <w:rFonts w:ascii="Times New Roman" w:hAnsi="Times New Roman"/>
                <w:b w:val="0"/>
                <w:i w:val="0"/>
                <w:sz w:val="18"/>
              </w:rPr>
              <w:t>31089</w:t>
            </w:r>
          </w:p>
        </w:tc>
        <w:tc>
          <w:tcPr>
            <w:tcW w:type="dxa" w:w="1296"/>
          </w:tcPr>
          <w:p>
            <w:pPr>
              <w:jc w:val="center"/>
            </w:pPr>
            <w:r>
              <w:rPr>
                <w:rFonts w:ascii="Times New Roman" w:hAnsi="Times New Roman"/>
                <w:b w:val="0"/>
                <w:i w:val="0"/>
                <w:sz w:val="18"/>
              </w:rPr>
              <w:t>95.3</w:t>
            </w:r>
          </w:p>
        </w:tc>
        <w:tc>
          <w:tcPr>
            <w:tcW w:type="dxa" w:w="1296"/>
          </w:tcPr>
          <w:p>
            <w:pPr>
              <w:jc w:val="center"/>
            </w:pPr>
            <w:r>
              <w:rPr>
                <w:rFonts w:ascii="Times New Roman" w:hAnsi="Times New Roman"/>
                <w:b w:val="0"/>
                <w:i w:val="0"/>
                <w:sz w:val="18"/>
              </w:rPr>
              <w:t>619</w:t>
            </w:r>
          </w:p>
        </w:tc>
        <w:tc>
          <w:tcPr>
            <w:tcW w:type="dxa" w:w="1440"/>
          </w:tcPr>
          <w:p>
            <w:pPr>
              <w:jc w:val="center"/>
            </w:pPr>
            <w:r>
              <w:rPr>
                <w:rFonts w:ascii="Times New Roman" w:hAnsi="Times New Roman"/>
                <w:b w:val="0"/>
                <w:i w:val="0"/>
                <w:sz w:val="18"/>
              </w:rPr>
              <w:t>12.3</w:t>
            </w:r>
          </w:p>
        </w:tc>
      </w:tr>
      <w:tr>
        <w:tc>
          <w:tcPr>
            <w:tcW w:type="dxa" w:w="3168"/>
          </w:tcPr>
          <w:p>
            <w:pPr>
              <w:jc w:val="left"/>
            </w:pPr>
            <w:r>
              <w:rPr>
                <w:rFonts w:ascii="Times New Roman" w:hAnsi="Times New Roman"/>
                <w:b w:val="0"/>
                <w:i w:val="0"/>
                <w:sz w:val="18"/>
              </w:rPr>
              <w:t>Uttarakhand</w:t>
            </w:r>
          </w:p>
        </w:tc>
        <w:tc>
          <w:tcPr>
            <w:tcW w:type="dxa" w:w="1296"/>
          </w:tcPr>
          <w:p>
            <w:pPr>
              <w:jc w:val="center"/>
            </w:pPr>
            <w:r>
              <w:rPr>
                <w:rFonts w:ascii="Times New Roman" w:hAnsi="Times New Roman"/>
                <w:b w:val="0"/>
                <w:i w:val="0"/>
                <w:sz w:val="18"/>
              </w:rPr>
              <w:t>4991</w:t>
            </w:r>
          </w:p>
        </w:tc>
        <w:tc>
          <w:tcPr>
            <w:tcW w:type="dxa" w:w="1296"/>
          </w:tcPr>
          <w:p>
            <w:pPr>
              <w:jc w:val="center"/>
            </w:pPr>
            <w:r>
              <w:rPr>
                <w:rFonts w:ascii="Times New Roman" w:hAnsi="Times New Roman"/>
                <w:b w:val="0"/>
                <w:i w:val="0"/>
                <w:sz w:val="18"/>
              </w:rPr>
              <w:t>11534</w:t>
            </w:r>
          </w:p>
        </w:tc>
        <w:tc>
          <w:tcPr>
            <w:tcW w:type="dxa" w:w="1296"/>
          </w:tcPr>
          <w:p>
            <w:pPr>
              <w:jc w:val="center"/>
            </w:pPr>
            <w:r>
              <w:rPr>
                <w:rFonts w:ascii="Times New Roman" w:hAnsi="Times New Roman"/>
                <w:b w:val="0"/>
                <w:i w:val="0"/>
                <w:sz w:val="18"/>
              </w:rPr>
              <w:t>94.9</w:t>
            </w:r>
          </w:p>
        </w:tc>
        <w:tc>
          <w:tcPr>
            <w:tcW w:type="dxa" w:w="1296"/>
          </w:tcPr>
          <w:p>
            <w:pPr>
              <w:jc w:val="center"/>
            </w:pPr>
            <w:r>
              <w:rPr>
                <w:rFonts w:ascii="Times New Roman" w:hAnsi="Times New Roman"/>
                <w:b w:val="0"/>
                <w:i w:val="0"/>
                <w:sz w:val="18"/>
              </w:rPr>
              <w:t>717</w:t>
            </w:r>
          </w:p>
        </w:tc>
        <w:tc>
          <w:tcPr>
            <w:tcW w:type="dxa" w:w="1440"/>
          </w:tcPr>
          <w:p>
            <w:pPr>
              <w:jc w:val="center"/>
            </w:pPr>
            <w:r>
              <w:rPr>
                <w:rFonts w:ascii="Times New Roman" w:hAnsi="Times New Roman"/>
                <w:b w:val="0"/>
                <w:i w:val="0"/>
                <w:sz w:val="18"/>
              </w:rPr>
              <w:t>14.4</w:t>
            </w:r>
          </w:p>
        </w:tc>
      </w:tr>
      <w:tr>
        <w:tc>
          <w:tcPr>
            <w:tcW w:type="dxa" w:w="3168"/>
          </w:tcPr>
          <w:p>
            <w:pPr>
              <w:jc w:val="left"/>
            </w:pPr>
            <w:r>
              <w:rPr>
                <w:rFonts w:ascii="Times New Roman" w:hAnsi="Times New Roman"/>
                <w:b w:val="0"/>
                <w:i w:val="0"/>
                <w:sz w:val="18"/>
              </w:rPr>
              <w:t>Andhra Pradesh</w:t>
            </w:r>
          </w:p>
        </w:tc>
        <w:tc>
          <w:tcPr>
            <w:tcW w:type="dxa" w:w="1296"/>
          </w:tcPr>
          <w:p>
            <w:pPr>
              <w:jc w:val="center"/>
            </w:pPr>
            <w:r>
              <w:rPr>
                <w:rFonts w:ascii="Times New Roman" w:hAnsi="Times New Roman"/>
                <w:b w:val="0"/>
                <w:i w:val="0"/>
                <w:sz w:val="18"/>
              </w:rPr>
              <w:t>4655</w:t>
            </w:r>
          </w:p>
        </w:tc>
        <w:tc>
          <w:tcPr>
            <w:tcW w:type="dxa" w:w="1296"/>
          </w:tcPr>
          <w:p>
            <w:pPr>
              <w:jc w:val="center"/>
            </w:pPr>
            <w:r>
              <w:rPr>
                <w:rFonts w:ascii="Times New Roman" w:hAnsi="Times New Roman"/>
                <w:b w:val="0"/>
                <w:i w:val="0"/>
                <w:sz w:val="18"/>
              </w:rPr>
              <w:t>50075</w:t>
            </w:r>
          </w:p>
        </w:tc>
        <w:tc>
          <w:tcPr>
            <w:tcW w:type="dxa" w:w="1296"/>
          </w:tcPr>
          <w:p>
            <w:pPr>
              <w:jc w:val="center"/>
            </w:pPr>
            <w:r>
              <w:rPr>
                <w:rFonts w:ascii="Times New Roman" w:hAnsi="Times New Roman"/>
                <w:b w:val="0"/>
                <w:i w:val="0"/>
                <w:sz w:val="18"/>
              </w:rPr>
              <w:t>94.5</w:t>
            </w:r>
          </w:p>
        </w:tc>
        <w:tc>
          <w:tcPr>
            <w:tcW w:type="dxa" w:w="1296"/>
          </w:tcPr>
          <w:p>
            <w:pPr>
              <w:jc w:val="center"/>
            </w:pPr>
            <w:r>
              <w:rPr>
                <w:rFonts w:ascii="Times New Roman" w:hAnsi="Times New Roman"/>
                <w:b w:val="0"/>
                <w:i w:val="0"/>
                <w:sz w:val="18"/>
              </w:rPr>
              <w:t>777</w:t>
            </w:r>
          </w:p>
        </w:tc>
        <w:tc>
          <w:tcPr>
            <w:tcW w:type="dxa" w:w="1440"/>
          </w:tcPr>
          <w:p>
            <w:pPr>
              <w:jc w:val="center"/>
            </w:pPr>
            <w:r>
              <w:rPr>
                <w:rFonts w:ascii="Times New Roman" w:hAnsi="Times New Roman"/>
                <w:b w:val="0"/>
                <w:i w:val="0"/>
                <w:sz w:val="18"/>
              </w:rPr>
              <w:t>16.7</w:t>
            </w:r>
          </w:p>
        </w:tc>
      </w:tr>
      <w:tr>
        <w:tc>
          <w:tcPr>
            <w:tcW w:type="dxa" w:w="3168"/>
          </w:tcPr>
          <w:p>
            <w:pPr>
              <w:jc w:val="left"/>
            </w:pPr>
            <w:r>
              <w:rPr>
                <w:rFonts w:ascii="Times New Roman" w:hAnsi="Times New Roman"/>
                <w:b w:val="0"/>
                <w:i w:val="0"/>
                <w:sz w:val="18"/>
              </w:rPr>
              <w:t>Haryana</w:t>
            </w:r>
          </w:p>
        </w:tc>
        <w:tc>
          <w:tcPr>
            <w:tcW w:type="dxa" w:w="1296"/>
          </w:tcPr>
          <w:p>
            <w:pPr>
              <w:jc w:val="center"/>
            </w:pPr>
            <w:r>
              <w:rPr>
                <w:rFonts w:ascii="Times New Roman" w:hAnsi="Times New Roman"/>
                <w:b w:val="0"/>
                <w:i w:val="0"/>
                <w:sz w:val="18"/>
              </w:rPr>
              <w:t>4641</w:t>
            </w:r>
          </w:p>
        </w:tc>
        <w:tc>
          <w:tcPr>
            <w:tcW w:type="dxa" w:w="1296"/>
          </w:tcPr>
          <w:p>
            <w:pPr>
              <w:jc w:val="center"/>
            </w:pPr>
            <w:r>
              <w:rPr>
                <w:rFonts w:ascii="Times New Roman" w:hAnsi="Times New Roman"/>
                <w:b w:val="0"/>
                <w:i w:val="0"/>
                <w:sz w:val="18"/>
              </w:rPr>
              <w:t>25308</w:t>
            </w:r>
          </w:p>
        </w:tc>
        <w:tc>
          <w:tcPr>
            <w:tcW w:type="dxa" w:w="1296"/>
          </w:tcPr>
          <w:p>
            <w:pPr>
              <w:jc w:val="center"/>
            </w:pPr>
            <w:r>
              <w:rPr>
                <w:rFonts w:ascii="Times New Roman" w:hAnsi="Times New Roman"/>
                <w:b w:val="0"/>
                <w:i w:val="0"/>
                <w:sz w:val="18"/>
              </w:rPr>
              <w:t>86.8</w:t>
            </w:r>
          </w:p>
        </w:tc>
        <w:tc>
          <w:tcPr>
            <w:tcW w:type="dxa" w:w="1296"/>
          </w:tcPr>
          <w:p>
            <w:pPr>
              <w:jc w:val="center"/>
            </w:pPr>
            <w:r>
              <w:rPr>
                <w:rFonts w:ascii="Times New Roman" w:hAnsi="Times New Roman"/>
                <w:b w:val="0"/>
                <w:i w:val="0"/>
                <w:sz w:val="18"/>
              </w:rPr>
              <w:t>808</w:t>
            </w:r>
          </w:p>
        </w:tc>
        <w:tc>
          <w:tcPr>
            <w:tcW w:type="dxa" w:w="1440"/>
          </w:tcPr>
          <w:p>
            <w:pPr>
              <w:jc w:val="center"/>
            </w:pPr>
            <w:r>
              <w:rPr>
                <w:rFonts w:ascii="Times New Roman" w:hAnsi="Times New Roman"/>
                <w:b w:val="0"/>
                <w:i w:val="0"/>
                <w:sz w:val="18"/>
              </w:rPr>
              <w:t>17.4</w:t>
            </w:r>
          </w:p>
        </w:tc>
      </w:tr>
      <w:tr>
        <w:tc>
          <w:tcPr>
            <w:tcW w:type="dxa" w:w="3168"/>
          </w:tcPr>
          <w:p>
            <w:pPr>
              <w:jc w:val="left"/>
            </w:pPr>
            <w:r>
              <w:rPr>
                <w:rFonts w:ascii="Times New Roman" w:hAnsi="Times New Roman"/>
                <w:b w:val="0"/>
                <w:i w:val="0"/>
                <w:sz w:val="18"/>
              </w:rPr>
              <w:t>Delhi</w:t>
            </w:r>
          </w:p>
        </w:tc>
        <w:tc>
          <w:tcPr>
            <w:tcW w:type="dxa" w:w="1296"/>
          </w:tcPr>
          <w:p>
            <w:pPr>
              <w:jc w:val="center"/>
            </w:pPr>
            <w:r>
              <w:rPr>
                <w:rFonts w:ascii="Times New Roman" w:hAnsi="Times New Roman"/>
                <w:b w:val="0"/>
                <w:i w:val="0"/>
                <w:sz w:val="18"/>
              </w:rPr>
              <w:t>2296</w:t>
            </w:r>
          </w:p>
        </w:tc>
        <w:tc>
          <w:tcPr>
            <w:tcW w:type="dxa" w:w="1296"/>
          </w:tcPr>
          <w:p>
            <w:pPr>
              <w:jc w:val="center"/>
            </w:pPr>
            <w:r>
              <w:rPr>
                <w:rFonts w:ascii="Times New Roman" w:hAnsi="Times New Roman"/>
                <w:b w:val="0"/>
                <w:i w:val="0"/>
                <w:sz w:val="18"/>
              </w:rPr>
              <w:t>8307</w:t>
            </w:r>
          </w:p>
        </w:tc>
        <w:tc>
          <w:tcPr>
            <w:tcW w:type="dxa" w:w="1296"/>
          </w:tcPr>
          <w:p>
            <w:pPr>
              <w:jc w:val="center"/>
            </w:pPr>
            <w:r>
              <w:rPr>
                <w:rFonts w:ascii="Times New Roman" w:hAnsi="Times New Roman"/>
                <w:b w:val="0"/>
                <w:i w:val="0"/>
                <w:sz w:val="18"/>
              </w:rPr>
              <w:t>41.8</w:t>
            </w:r>
          </w:p>
        </w:tc>
        <w:tc>
          <w:tcPr>
            <w:tcW w:type="dxa" w:w="1296"/>
          </w:tcPr>
          <w:p>
            <w:pPr>
              <w:jc w:val="center"/>
            </w:pPr>
            <w:r>
              <w:rPr>
                <w:rFonts w:ascii="Times New Roman" w:hAnsi="Times New Roman"/>
                <w:b w:val="0"/>
                <w:i w:val="0"/>
                <w:sz w:val="18"/>
              </w:rPr>
              <w:t>582</w:t>
            </w:r>
          </w:p>
        </w:tc>
        <w:tc>
          <w:tcPr>
            <w:tcW w:type="dxa" w:w="1440"/>
          </w:tcPr>
          <w:p>
            <w:pPr>
              <w:jc w:val="center"/>
            </w:pPr>
            <w:r>
              <w:rPr>
                <w:rFonts w:ascii="Times New Roman" w:hAnsi="Times New Roman"/>
                <w:b w:val="0"/>
                <w:i w:val="0"/>
                <w:sz w:val="18"/>
              </w:rPr>
              <w:t>25.3</w:t>
            </w:r>
          </w:p>
        </w:tc>
      </w:tr>
      <w:tr>
        <w:tc>
          <w:tcPr>
            <w:tcW w:type="dxa" w:w="3168"/>
          </w:tcPr>
          <w:p>
            <w:pPr>
              <w:jc w:val="left"/>
            </w:pPr>
            <w:r>
              <w:rPr>
                <w:rFonts w:ascii="Times New Roman" w:hAnsi="Times New Roman"/>
                <w:b w:val="0"/>
                <w:i w:val="0"/>
                <w:sz w:val="18"/>
              </w:rPr>
              <w:t>Mizoram</w:t>
            </w:r>
          </w:p>
        </w:tc>
        <w:tc>
          <w:tcPr>
            <w:tcW w:type="dxa" w:w="1296"/>
          </w:tcPr>
          <w:p>
            <w:pPr>
              <w:jc w:val="center"/>
            </w:pPr>
            <w:r>
              <w:rPr>
                <w:rFonts w:ascii="Times New Roman" w:hAnsi="Times New Roman"/>
                <w:b w:val="0"/>
                <w:i w:val="0"/>
                <w:sz w:val="18"/>
              </w:rPr>
              <w:t>2360</w:t>
            </w:r>
          </w:p>
        </w:tc>
        <w:tc>
          <w:tcPr>
            <w:tcW w:type="dxa" w:w="1296"/>
          </w:tcPr>
          <w:p>
            <w:pPr>
              <w:jc w:val="center"/>
            </w:pPr>
            <w:r>
              <w:rPr>
                <w:rFonts w:ascii="Times New Roman" w:hAnsi="Times New Roman"/>
                <w:b w:val="0"/>
                <w:i w:val="0"/>
                <w:sz w:val="18"/>
              </w:rPr>
              <w:t>481</w:t>
            </w:r>
          </w:p>
        </w:tc>
        <w:tc>
          <w:tcPr>
            <w:tcW w:type="dxa" w:w="1296"/>
          </w:tcPr>
          <w:p>
            <w:pPr>
              <w:jc w:val="center"/>
            </w:pPr>
            <w:r>
              <w:rPr>
                <w:rFonts w:ascii="Times New Roman" w:hAnsi="Times New Roman"/>
                <w:b w:val="0"/>
                <w:i w:val="0"/>
                <w:sz w:val="18"/>
              </w:rPr>
              <w:t>38.1</w:t>
            </w:r>
          </w:p>
        </w:tc>
        <w:tc>
          <w:tcPr>
            <w:tcW w:type="dxa" w:w="1296"/>
          </w:tcPr>
          <w:p>
            <w:pPr>
              <w:jc w:val="center"/>
            </w:pPr>
            <w:r>
              <w:rPr>
                <w:rFonts w:ascii="Times New Roman" w:hAnsi="Times New Roman"/>
                <w:b w:val="0"/>
                <w:i w:val="0"/>
                <w:sz w:val="18"/>
              </w:rPr>
              <w:t>581</w:t>
            </w:r>
          </w:p>
        </w:tc>
        <w:tc>
          <w:tcPr>
            <w:tcW w:type="dxa" w:w="1440"/>
          </w:tcPr>
          <w:p>
            <w:pPr>
              <w:jc w:val="center"/>
            </w:pPr>
            <w:r>
              <w:rPr>
                <w:rFonts w:ascii="Times New Roman" w:hAnsi="Times New Roman"/>
                <w:b w:val="0"/>
                <w:i w:val="0"/>
                <w:sz w:val="18"/>
              </w:rPr>
              <w:t>24.6</w:t>
            </w:r>
          </w:p>
        </w:tc>
      </w:tr>
      <w:tr>
        <w:tc>
          <w:tcPr>
            <w:tcW w:type="dxa" w:w="3168"/>
          </w:tcPr>
          <w:p>
            <w:pPr>
              <w:jc w:val="left"/>
            </w:pPr>
            <w:r>
              <w:rPr>
                <w:rFonts w:ascii="Times New Roman" w:hAnsi="Times New Roman"/>
                <w:b w:val="0"/>
                <w:i w:val="0"/>
                <w:sz w:val="18"/>
              </w:rPr>
              <w:t>Sikkim</w:t>
            </w:r>
          </w:p>
        </w:tc>
        <w:tc>
          <w:tcPr>
            <w:tcW w:type="dxa" w:w="1296"/>
          </w:tcPr>
          <w:p>
            <w:pPr>
              <w:jc w:val="center"/>
            </w:pPr>
            <w:r>
              <w:rPr>
                <w:rFonts w:ascii="Times New Roman" w:hAnsi="Times New Roman"/>
                <w:b w:val="0"/>
                <w:i w:val="0"/>
                <w:sz w:val="18"/>
              </w:rPr>
              <w:t>2655</w:t>
            </w:r>
          </w:p>
        </w:tc>
        <w:tc>
          <w:tcPr>
            <w:tcW w:type="dxa" w:w="1296"/>
          </w:tcPr>
          <w:p>
            <w:pPr>
              <w:jc w:val="center"/>
            </w:pPr>
            <w:r>
              <w:rPr>
                <w:rFonts w:ascii="Times New Roman" w:hAnsi="Times New Roman"/>
                <w:b w:val="0"/>
                <w:i w:val="0"/>
                <w:sz w:val="18"/>
              </w:rPr>
              <w:t>283</w:t>
            </w:r>
          </w:p>
        </w:tc>
        <w:tc>
          <w:tcPr>
            <w:tcW w:type="dxa" w:w="1296"/>
          </w:tcPr>
          <w:p>
            <w:pPr>
              <w:jc w:val="center"/>
            </w:pPr>
            <w:r>
              <w:rPr>
                <w:rFonts w:ascii="Times New Roman" w:hAnsi="Times New Roman"/>
                <w:b w:val="0"/>
                <w:i w:val="0"/>
                <w:sz w:val="18"/>
              </w:rPr>
              <w:t>40.7</w:t>
            </w:r>
          </w:p>
        </w:tc>
        <w:tc>
          <w:tcPr>
            <w:tcW w:type="dxa" w:w="1296"/>
          </w:tcPr>
          <w:p>
            <w:pPr>
              <w:jc w:val="center"/>
            </w:pPr>
            <w:r>
              <w:rPr>
                <w:rFonts w:ascii="Times New Roman" w:hAnsi="Times New Roman"/>
                <w:b w:val="0"/>
                <w:i w:val="0"/>
                <w:sz w:val="18"/>
              </w:rPr>
              <w:t>727</w:t>
            </w:r>
          </w:p>
        </w:tc>
        <w:tc>
          <w:tcPr>
            <w:tcW w:type="dxa" w:w="1440"/>
          </w:tcPr>
          <w:p>
            <w:pPr>
              <w:jc w:val="center"/>
            </w:pPr>
            <w:r>
              <w:rPr>
                <w:rFonts w:ascii="Times New Roman" w:hAnsi="Times New Roman"/>
                <w:b w:val="0"/>
                <w:i w:val="0"/>
                <w:sz w:val="18"/>
              </w:rPr>
              <w:t>27.4</w:t>
            </w:r>
          </w:p>
        </w:tc>
      </w:tr>
      <w:tr>
        <w:tc>
          <w:tcPr>
            <w:tcW w:type="dxa" w:w="3168"/>
          </w:tcPr>
          <w:p>
            <w:pPr>
              <w:jc w:val="left"/>
            </w:pPr>
            <w:r>
              <w:rPr>
                <w:rFonts w:ascii="Times New Roman" w:hAnsi="Times New Roman"/>
                <w:b w:val="0"/>
                <w:i w:val="0"/>
                <w:sz w:val="18"/>
              </w:rPr>
              <w:t>Kerala</w:t>
            </w:r>
          </w:p>
        </w:tc>
        <w:tc>
          <w:tcPr>
            <w:tcW w:type="dxa" w:w="1296"/>
          </w:tcPr>
          <w:p>
            <w:pPr>
              <w:jc w:val="center"/>
            </w:pPr>
            <w:r>
              <w:rPr>
                <w:rFonts w:ascii="Times New Roman" w:hAnsi="Times New Roman"/>
                <w:b w:val="0"/>
                <w:i w:val="0"/>
                <w:sz w:val="18"/>
              </w:rPr>
              <w:t>2678</w:t>
            </w:r>
          </w:p>
        </w:tc>
        <w:tc>
          <w:tcPr>
            <w:tcW w:type="dxa" w:w="1296"/>
          </w:tcPr>
          <w:p>
            <w:pPr>
              <w:jc w:val="center"/>
            </w:pPr>
            <w:r>
              <w:rPr>
                <w:rFonts w:ascii="Times New Roman" w:hAnsi="Times New Roman"/>
                <w:b w:val="0"/>
                <w:i w:val="0"/>
                <w:sz w:val="18"/>
              </w:rPr>
              <w:t>18827</w:t>
            </w:r>
          </w:p>
        </w:tc>
        <w:tc>
          <w:tcPr>
            <w:tcW w:type="dxa" w:w="1296"/>
          </w:tcPr>
          <w:p>
            <w:pPr>
              <w:jc w:val="center"/>
            </w:pPr>
            <w:r>
              <w:rPr>
                <w:rFonts w:ascii="Times New Roman" w:hAnsi="Times New Roman"/>
                <w:b w:val="0"/>
                <w:i w:val="0"/>
                <w:sz w:val="18"/>
              </w:rPr>
              <w:t>53.4</w:t>
            </w:r>
          </w:p>
        </w:tc>
        <w:tc>
          <w:tcPr>
            <w:tcW w:type="dxa" w:w="1296"/>
          </w:tcPr>
          <w:p>
            <w:pPr>
              <w:jc w:val="center"/>
            </w:pPr>
            <w:r>
              <w:rPr>
                <w:rFonts w:ascii="Times New Roman" w:hAnsi="Times New Roman"/>
                <w:b w:val="0"/>
                <w:i w:val="0"/>
                <w:sz w:val="18"/>
              </w:rPr>
              <w:t>836</w:t>
            </w:r>
          </w:p>
        </w:tc>
        <w:tc>
          <w:tcPr>
            <w:tcW w:type="dxa" w:w="1440"/>
          </w:tcPr>
          <w:p>
            <w:pPr>
              <w:jc w:val="center"/>
            </w:pPr>
            <w:r>
              <w:rPr>
                <w:rFonts w:ascii="Times New Roman" w:hAnsi="Times New Roman"/>
                <w:b w:val="0"/>
                <w:i w:val="0"/>
                <w:sz w:val="18"/>
              </w:rPr>
              <w:t>31.2</w:t>
            </w:r>
          </w:p>
        </w:tc>
      </w:tr>
      <w:tr>
        <w:tc>
          <w:tcPr>
            <w:tcW w:type="dxa" w:w="3168"/>
          </w:tcPr>
          <w:p>
            <w:pPr>
              <w:jc w:val="left"/>
            </w:pPr>
            <w:r>
              <w:rPr>
                <w:rFonts w:ascii="Times New Roman" w:hAnsi="Times New Roman"/>
                <w:b w:val="0"/>
                <w:i w:val="0"/>
                <w:sz w:val="18"/>
              </w:rPr>
              <w:t>Jammu &amp; Kashmir and Ladakh</w:t>
            </w:r>
          </w:p>
        </w:tc>
        <w:tc>
          <w:tcPr>
            <w:tcW w:type="dxa" w:w="1296"/>
          </w:tcPr>
          <w:p>
            <w:pPr>
              <w:jc w:val="center"/>
            </w:pPr>
            <w:r>
              <w:rPr>
                <w:rFonts w:ascii="Times New Roman" w:hAnsi="Times New Roman"/>
                <w:b w:val="0"/>
                <w:i w:val="0"/>
                <w:sz w:val="18"/>
              </w:rPr>
              <w:t>2692</w:t>
            </w:r>
          </w:p>
        </w:tc>
        <w:tc>
          <w:tcPr>
            <w:tcW w:type="dxa" w:w="1296"/>
          </w:tcPr>
          <w:p>
            <w:pPr>
              <w:jc w:val="center"/>
            </w:pPr>
            <w:r>
              <w:rPr>
                <w:rFonts w:ascii="Times New Roman" w:hAnsi="Times New Roman"/>
                <w:b w:val="0"/>
                <w:i w:val="0"/>
                <w:sz w:val="18"/>
              </w:rPr>
              <w:t>6149</w:t>
            </w:r>
          </w:p>
        </w:tc>
        <w:tc>
          <w:tcPr>
            <w:tcW w:type="dxa" w:w="1296"/>
          </w:tcPr>
          <w:p>
            <w:pPr>
              <w:jc w:val="center"/>
            </w:pPr>
            <w:r>
              <w:rPr>
                <w:rFonts w:ascii="Times New Roman" w:hAnsi="Times New Roman"/>
                <w:b w:val="0"/>
                <w:i w:val="0"/>
                <w:sz w:val="18"/>
              </w:rPr>
              <w:t>43.7</w:t>
            </w:r>
          </w:p>
        </w:tc>
        <w:tc>
          <w:tcPr>
            <w:tcW w:type="dxa" w:w="1296"/>
          </w:tcPr>
          <w:p>
            <w:pPr>
              <w:jc w:val="center"/>
            </w:pPr>
            <w:r>
              <w:rPr>
                <w:rFonts w:ascii="Times New Roman" w:hAnsi="Times New Roman"/>
                <w:b w:val="0"/>
                <w:i w:val="0"/>
                <w:sz w:val="18"/>
              </w:rPr>
              <w:t>756</w:t>
            </w:r>
          </w:p>
        </w:tc>
        <w:tc>
          <w:tcPr>
            <w:tcW w:type="dxa" w:w="1440"/>
          </w:tcPr>
          <w:p>
            <w:pPr>
              <w:jc w:val="center"/>
            </w:pPr>
            <w:r>
              <w:rPr>
                <w:rFonts w:ascii="Times New Roman" w:hAnsi="Times New Roman"/>
                <w:b w:val="0"/>
                <w:i w:val="0"/>
                <w:sz w:val="18"/>
              </w:rPr>
              <w:t>28.1</w:t>
            </w:r>
          </w:p>
        </w:tc>
      </w:tr>
    </w:tbl>
    <w:p>
      <w:pPr>
        <w:spacing w:after="120"/>
        <w:jc w:val="left"/>
      </w:pPr>
      <w:r>
        <w:rPr>
          <w:rFonts w:ascii="Times New Roman" w:hAnsi="Times New Roman"/>
          <w:b w:val="0"/>
          <w:i/>
          <w:sz w:val="18"/>
        </w:rPr>
        <w:t>DALY and YLD rates are per 100,000 population.</w:t>
      </w:r>
    </w:p>
    <w:p>
      <w:pPr>
        <w:spacing w:before="160" w:after="80"/>
      </w:pPr>
      <w:r>
        <w:rPr>
          <w:rFonts w:ascii="Times New Roman" w:hAnsi="Times New Roman"/>
          <w:b/>
          <w:i w:val="0"/>
          <w:sz w:val="22"/>
        </w:rPr>
        <w:t>Table 2. Hidden Disability Burden Index: selected disability-prominent and mortality-prominent states.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fill="D9EAF7"/>
          </w:tcPr>
          <w:p>
            <w:pPr>
              <w:jc w:val="center"/>
            </w:pPr>
            <w:r>
              <w:rPr>
                <w:rFonts w:ascii="Times New Roman" w:hAnsi="Times New Roman"/>
                <w:b/>
                <w:i w:val="0"/>
                <w:sz w:val="18"/>
              </w:rPr>
              <w:t>State/UT</w:t>
            </w:r>
          </w:p>
        </w:tc>
        <w:tc>
          <w:tcPr>
            <w:tcW w:type="dxa" w:w="1296"/>
            <w:shd w:fill="D9EAF7"/>
          </w:tcPr>
          <w:p>
            <w:pPr>
              <w:jc w:val="center"/>
            </w:pPr>
            <w:r>
              <w:rPr>
                <w:rFonts w:ascii="Times New Roman" w:hAnsi="Times New Roman"/>
                <w:b/>
                <w:i w:val="0"/>
                <w:sz w:val="18"/>
              </w:rPr>
              <w:t>YLD rate</w:t>
            </w:r>
          </w:p>
        </w:tc>
        <w:tc>
          <w:tcPr>
            <w:tcW w:type="dxa" w:w="1296"/>
            <w:shd w:fill="D9EAF7"/>
          </w:tcPr>
          <w:p>
            <w:pPr>
              <w:jc w:val="center"/>
            </w:pPr>
            <w:r>
              <w:rPr>
                <w:rFonts w:ascii="Times New Roman" w:hAnsi="Times New Roman"/>
                <w:b/>
                <w:i w:val="0"/>
                <w:sz w:val="18"/>
              </w:rPr>
              <w:t>Death rate</w:t>
            </w:r>
          </w:p>
        </w:tc>
        <w:tc>
          <w:tcPr>
            <w:tcW w:type="dxa" w:w="1440"/>
            <w:shd w:fill="D9EAF7"/>
          </w:tcPr>
          <w:p>
            <w:pPr>
              <w:jc w:val="center"/>
            </w:pPr>
            <w:r>
              <w:rPr>
                <w:rFonts w:ascii="Times New Roman" w:hAnsi="Times New Roman"/>
                <w:b/>
                <w:i w:val="0"/>
                <w:sz w:val="18"/>
              </w:rPr>
              <w:t>HDBI z-score</w:t>
            </w:r>
          </w:p>
        </w:tc>
        <w:tc>
          <w:tcPr>
            <w:tcW w:type="dxa" w:w="1872"/>
            <w:shd w:fill="D9EAF7"/>
          </w:tcPr>
          <w:p>
            <w:pPr>
              <w:jc w:val="center"/>
            </w:pPr>
            <w:r>
              <w:rPr>
                <w:rFonts w:ascii="Times New Roman" w:hAnsi="Times New Roman"/>
                <w:b/>
                <w:i w:val="0"/>
                <w:sz w:val="18"/>
              </w:rPr>
              <w:t>Profile</w:t>
            </w:r>
          </w:p>
        </w:tc>
      </w:tr>
      <w:tr>
        <w:tc>
          <w:tcPr>
            <w:tcW w:type="dxa" w:w="3168"/>
          </w:tcPr>
          <w:p>
            <w:pPr>
              <w:jc w:val="left"/>
            </w:pPr>
            <w:r>
              <w:rPr>
                <w:rFonts w:ascii="Times New Roman" w:hAnsi="Times New Roman"/>
                <w:b w:val="0"/>
                <w:i w:val="0"/>
                <w:sz w:val="18"/>
              </w:rPr>
              <w:t>Tamil Nadu</w:t>
            </w:r>
          </w:p>
        </w:tc>
        <w:tc>
          <w:tcPr>
            <w:tcW w:type="dxa" w:w="1296"/>
          </w:tcPr>
          <w:p>
            <w:pPr>
              <w:jc w:val="center"/>
            </w:pPr>
            <w:r>
              <w:rPr>
                <w:rFonts w:ascii="Times New Roman" w:hAnsi="Times New Roman"/>
                <w:b w:val="0"/>
                <w:i w:val="0"/>
                <w:sz w:val="18"/>
              </w:rPr>
              <w:t>1042</w:t>
            </w:r>
          </w:p>
        </w:tc>
        <w:tc>
          <w:tcPr>
            <w:tcW w:type="dxa" w:w="1296"/>
          </w:tcPr>
          <w:p>
            <w:pPr>
              <w:jc w:val="center"/>
            </w:pPr>
            <w:r>
              <w:rPr>
                <w:rFonts w:ascii="Times New Roman" w:hAnsi="Times New Roman"/>
                <w:b w:val="0"/>
                <w:i w:val="0"/>
                <w:sz w:val="18"/>
              </w:rPr>
              <w:t>84.0</w:t>
            </w:r>
          </w:p>
        </w:tc>
        <w:tc>
          <w:tcPr>
            <w:tcW w:type="dxa" w:w="1440"/>
          </w:tcPr>
          <w:p>
            <w:pPr>
              <w:jc w:val="center"/>
            </w:pPr>
            <w:r>
              <w:rPr>
                <w:rFonts w:ascii="Times New Roman" w:hAnsi="Times New Roman"/>
                <w:b w:val="0"/>
                <w:i w:val="0"/>
                <w:sz w:val="18"/>
              </w:rPr>
              <w:t>1.86</w:t>
            </w:r>
          </w:p>
        </w:tc>
        <w:tc>
          <w:tcPr>
            <w:tcW w:type="dxa" w:w="1872"/>
          </w:tcPr>
          <w:p>
            <w:pPr>
              <w:jc w:val="center"/>
            </w:pPr>
            <w:r>
              <w:rPr>
                <w:rFonts w:ascii="Times New Roman" w:hAnsi="Times New Roman"/>
                <w:b w:val="0"/>
                <w:i w:val="0"/>
                <w:sz w:val="18"/>
              </w:rPr>
              <w:t>Disability-prominent</w:t>
            </w:r>
          </w:p>
        </w:tc>
      </w:tr>
      <w:tr>
        <w:tc>
          <w:tcPr>
            <w:tcW w:type="dxa" w:w="3168"/>
          </w:tcPr>
          <w:p>
            <w:pPr>
              <w:jc w:val="left"/>
            </w:pPr>
            <w:r>
              <w:rPr>
                <w:rFonts w:ascii="Times New Roman" w:hAnsi="Times New Roman"/>
                <w:b w:val="0"/>
                <w:i w:val="0"/>
                <w:sz w:val="18"/>
              </w:rPr>
              <w:t>Himachal Pradesh</w:t>
            </w:r>
          </w:p>
        </w:tc>
        <w:tc>
          <w:tcPr>
            <w:tcW w:type="dxa" w:w="1296"/>
          </w:tcPr>
          <w:p>
            <w:pPr>
              <w:jc w:val="center"/>
            </w:pPr>
            <w:r>
              <w:rPr>
                <w:rFonts w:ascii="Times New Roman" w:hAnsi="Times New Roman"/>
                <w:b w:val="0"/>
                <w:i w:val="0"/>
                <w:sz w:val="18"/>
              </w:rPr>
              <w:t>870</w:t>
            </w:r>
          </w:p>
        </w:tc>
        <w:tc>
          <w:tcPr>
            <w:tcW w:type="dxa" w:w="1296"/>
          </w:tcPr>
          <w:p>
            <w:pPr>
              <w:jc w:val="center"/>
            </w:pPr>
            <w:r>
              <w:rPr>
                <w:rFonts w:ascii="Times New Roman" w:hAnsi="Times New Roman"/>
                <w:b w:val="0"/>
                <w:i w:val="0"/>
                <w:sz w:val="18"/>
              </w:rPr>
              <w:t>57.8</w:t>
            </w:r>
          </w:p>
        </w:tc>
        <w:tc>
          <w:tcPr>
            <w:tcW w:type="dxa" w:w="1440"/>
          </w:tcPr>
          <w:p>
            <w:pPr>
              <w:jc w:val="center"/>
            </w:pPr>
            <w:r>
              <w:rPr>
                <w:rFonts w:ascii="Times New Roman" w:hAnsi="Times New Roman"/>
                <w:b w:val="0"/>
                <w:i w:val="0"/>
                <w:sz w:val="18"/>
              </w:rPr>
              <w:t>1.77</w:t>
            </w:r>
          </w:p>
        </w:tc>
        <w:tc>
          <w:tcPr>
            <w:tcW w:type="dxa" w:w="1872"/>
          </w:tcPr>
          <w:p>
            <w:pPr>
              <w:jc w:val="center"/>
            </w:pPr>
            <w:r>
              <w:rPr>
                <w:rFonts w:ascii="Times New Roman" w:hAnsi="Times New Roman"/>
                <w:b w:val="0"/>
                <w:i w:val="0"/>
                <w:sz w:val="18"/>
              </w:rPr>
              <w:t>Disability-prominent</w:t>
            </w:r>
          </w:p>
        </w:tc>
      </w:tr>
      <w:tr>
        <w:tc>
          <w:tcPr>
            <w:tcW w:type="dxa" w:w="3168"/>
          </w:tcPr>
          <w:p>
            <w:pPr>
              <w:jc w:val="left"/>
            </w:pPr>
            <w:r>
              <w:rPr>
                <w:rFonts w:ascii="Times New Roman" w:hAnsi="Times New Roman"/>
                <w:b w:val="0"/>
                <w:i w:val="0"/>
                <w:sz w:val="18"/>
              </w:rPr>
              <w:t>Maharashtra</w:t>
            </w:r>
          </w:p>
        </w:tc>
        <w:tc>
          <w:tcPr>
            <w:tcW w:type="dxa" w:w="1296"/>
          </w:tcPr>
          <w:p>
            <w:pPr>
              <w:jc w:val="center"/>
            </w:pPr>
            <w:r>
              <w:rPr>
                <w:rFonts w:ascii="Times New Roman" w:hAnsi="Times New Roman"/>
                <w:b w:val="0"/>
                <w:i w:val="0"/>
                <w:sz w:val="18"/>
              </w:rPr>
              <w:t>858</w:t>
            </w:r>
          </w:p>
        </w:tc>
        <w:tc>
          <w:tcPr>
            <w:tcW w:type="dxa" w:w="1296"/>
          </w:tcPr>
          <w:p>
            <w:pPr>
              <w:jc w:val="center"/>
            </w:pPr>
            <w:r>
              <w:rPr>
                <w:rFonts w:ascii="Times New Roman" w:hAnsi="Times New Roman"/>
                <w:b w:val="0"/>
                <w:i w:val="0"/>
                <w:sz w:val="18"/>
              </w:rPr>
              <w:t>56.7</w:t>
            </w:r>
          </w:p>
        </w:tc>
        <w:tc>
          <w:tcPr>
            <w:tcW w:type="dxa" w:w="1440"/>
          </w:tcPr>
          <w:p>
            <w:pPr>
              <w:jc w:val="center"/>
            </w:pPr>
            <w:r>
              <w:rPr>
                <w:rFonts w:ascii="Times New Roman" w:hAnsi="Times New Roman"/>
                <w:b w:val="0"/>
                <w:i w:val="0"/>
                <w:sz w:val="18"/>
              </w:rPr>
              <w:t>1.73</w:t>
            </w:r>
          </w:p>
        </w:tc>
        <w:tc>
          <w:tcPr>
            <w:tcW w:type="dxa" w:w="1872"/>
          </w:tcPr>
          <w:p>
            <w:pPr>
              <w:jc w:val="center"/>
            </w:pPr>
            <w:r>
              <w:rPr>
                <w:rFonts w:ascii="Times New Roman" w:hAnsi="Times New Roman"/>
                <w:b w:val="0"/>
                <w:i w:val="0"/>
                <w:sz w:val="18"/>
              </w:rPr>
              <w:t>Disability-prominent</w:t>
            </w:r>
          </w:p>
        </w:tc>
      </w:tr>
      <w:tr>
        <w:tc>
          <w:tcPr>
            <w:tcW w:type="dxa" w:w="3168"/>
          </w:tcPr>
          <w:p>
            <w:pPr>
              <w:jc w:val="left"/>
            </w:pPr>
            <w:r>
              <w:rPr>
                <w:rFonts w:ascii="Times New Roman" w:hAnsi="Times New Roman"/>
                <w:b w:val="0"/>
                <w:i w:val="0"/>
                <w:sz w:val="18"/>
              </w:rPr>
              <w:t>Kerala</w:t>
            </w:r>
          </w:p>
        </w:tc>
        <w:tc>
          <w:tcPr>
            <w:tcW w:type="dxa" w:w="1296"/>
          </w:tcPr>
          <w:p>
            <w:pPr>
              <w:jc w:val="center"/>
            </w:pPr>
            <w:r>
              <w:rPr>
                <w:rFonts w:ascii="Times New Roman" w:hAnsi="Times New Roman"/>
                <w:b w:val="0"/>
                <w:i w:val="0"/>
                <w:sz w:val="18"/>
              </w:rPr>
              <w:t>836</w:t>
            </w:r>
          </w:p>
        </w:tc>
        <w:tc>
          <w:tcPr>
            <w:tcW w:type="dxa" w:w="1296"/>
          </w:tcPr>
          <w:p>
            <w:pPr>
              <w:jc w:val="center"/>
            </w:pPr>
            <w:r>
              <w:rPr>
                <w:rFonts w:ascii="Times New Roman" w:hAnsi="Times New Roman"/>
                <w:b w:val="0"/>
                <w:i w:val="0"/>
                <w:sz w:val="18"/>
              </w:rPr>
              <w:t>53.4</w:t>
            </w:r>
          </w:p>
        </w:tc>
        <w:tc>
          <w:tcPr>
            <w:tcW w:type="dxa" w:w="1440"/>
          </w:tcPr>
          <w:p>
            <w:pPr>
              <w:jc w:val="center"/>
            </w:pPr>
            <w:r>
              <w:rPr>
                <w:rFonts w:ascii="Times New Roman" w:hAnsi="Times New Roman"/>
                <w:b w:val="0"/>
                <w:i w:val="0"/>
                <w:sz w:val="18"/>
              </w:rPr>
              <w:t>1.70</w:t>
            </w:r>
          </w:p>
        </w:tc>
        <w:tc>
          <w:tcPr>
            <w:tcW w:type="dxa" w:w="1872"/>
          </w:tcPr>
          <w:p>
            <w:pPr>
              <w:jc w:val="center"/>
            </w:pPr>
            <w:r>
              <w:rPr>
                <w:rFonts w:ascii="Times New Roman" w:hAnsi="Times New Roman"/>
                <w:b w:val="0"/>
                <w:i w:val="0"/>
                <w:sz w:val="18"/>
              </w:rPr>
              <w:t>Disability-prominent</w:t>
            </w:r>
          </w:p>
        </w:tc>
      </w:tr>
      <w:tr>
        <w:tc>
          <w:tcPr>
            <w:tcW w:type="dxa" w:w="3168"/>
          </w:tcPr>
          <w:p>
            <w:pPr>
              <w:jc w:val="left"/>
            </w:pPr>
            <w:r>
              <w:rPr>
                <w:rFonts w:ascii="Times New Roman" w:hAnsi="Times New Roman"/>
                <w:b w:val="0"/>
                <w:i w:val="0"/>
                <w:sz w:val="18"/>
              </w:rPr>
              <w:t>Jammu &amp; Kashmir and Ladakh</w:t>
            </w:r>
          </w:p>
        </w:tc>
        <w:tc>
          <w:tcPr>
            <w:tcW w:type="dxa" w:w="1296"/>
          </w:tcPr>
          <w:p>
            <w:pPr>
              <w:jc w:val="center"/>
            </w:pPr>
            <w:r>
              <w:rPr>
                <w:rFonts w:ascii="Times New Roman" w:hAnsi="Times New Roman"/>
                <w:b w:val="0"/>
                <w:i w:val="0"/>
                <w:sz w:val="18"/>
              </w:rPr>
              <w:t>756</w:t>
            </w:r>
          </w:p>
        </w:tc>
        <w:tc>
          <w:tcPr>
            <w:tcW w:type="dxa" w:w="1296"/>
          </w:tcPr>
          <w:p>
            <w:pPr>
              <w:jc w:val="center"/>
            </w:pPr>
            <w:r>
              <w:rPr>
                <w:rFonts w:ascii="Times New Roman" w:hAnsi="Times New Roman"/>
                <w:b w:val="0"/>
                <w:i w:val="0"/>
                <w:sz w:val="18"/>
              </w:rPr>
              <w:t>43.7</w:t>
            </w:r>
          </w:p>
        </w:tc>
        <w:tc>
          <w:tcPr>
            <w:tcW w:type="dxa" w:w="1440"/>
          </w:tcPr>
          <w:p>
            <w:pPr>
              <w:jc w:val="center"/>
            </w:pPr>
            <w:r>
              <w:rPr>
                <w:rFonts w:ascii="Times New Roman" w:hAnsi="Times New Roman"/>
                <w:b w:val="0"/>
                <w:i w:val="0"/>
                <w:sz w:val="18"/>
              </w:rPr>
              <w:t>1.54</w:t>
            </w:r>
          </w:p>
        </w:tc>
        <w:tc>
          <w:tcPr>
            <w:tcW w:type="dxa" w:w="1872"/>
          </w:tcPr>
          <w:p>
            <w:pPr>
              <w:jc w:val="center"/>
            </w:pPr>
            <w:r>
              <w:rPr>
                <w:rFonts w:ascii="Times New Roman" w:hAnsi="Times New Roman"/>
                <w:b w:val="0"/>
                <w:i w:val="0"/>
                <w:sz w:val="18"/>
              </w:rPr>
              <w:t>Disability-prominent</w:t>
            </w:r>
          </w:p>
        </w:tc>
      </w:tr>
      <w:tr>
        <w:tc>
          <w:tcPr>
            <w:tcW w:type="dxa" w:w="3168"/>
          </w:tcPr>
          <w:p>
            <w:pPr>
              <w:jc w:val="left"/>
            </w:pPr>
            <w:r>
              <w:rPr>
                <w:rFonts w:ascii="Times New Roman" w:hAnsi="Times New Roman"/>
                <w:b w:val="0"/>
                <w:i w:val="0"/>
                <w:sz w:val="18"/>
              </w:rPr>
              <w:t>Telangana</w:t>
            </w:r>
          </w:p>
        </w:tc>
        <w:tc>
          <w:tcPr>
            <w:tcW w:type="dxa" w:w="1296"/>
          </w:tcPr>
          <w:p>
            <w:pPr>
              <w:jc w:val="center"/>
            </w:pPr>
            <w:r>
              <w:rPr>
                <w:rFonts w:ascii="Times New Roman" w:hAnsi="Times New Roman"/>
                <w:b w:val="0"/>
                <w:i w:val="0"/>
                <w:sz w:val="18"/>
              </w:rPr>
              <w:t>747</w:t>
            </w:r>
          </w:p>
        </w:tc>
        <w:tc>
          <w:tcPr>
            <w:tcW w:type="dxa" w:w="1296"/>
          </w:tcPr>
          <w:p>
            <w:pPr>
              <w:jc w:val="center"/>
            </w:pPr>
            <w:r>
              <w:rPr>
                <w:rFonts w:ascii="Times New Roman" w:hAnsi="Times New Roman"/>
                <w:b w:val="0"/>
                <w:i w:val="0"/>
                <w:sz w:val="18"/>
              </w:rPr>
              <w:t>125.1</w:t>
            </w:r>
          </w:p>
        </w:tc>
        <w:tc>
          <w:tcPr>
            <w:tcW w:type="dxa" w:w="1440"/>
          </w:tcPr>
          <w:p>
            <w:pPr>
              <w:jc w:val="center"/>
            </w:pPr>
            <w:r>
              <w:rPr>
                <w:rFonts w:ascii="Times New Roman" w:hAnsi="Times New Roman"/>
                <w:b w:val="0"/>
                <w:i w:val="0"/>
                <w:sz w:val="18"/>
              </w:rPr>
              <w:t>-2.66</w:t>
            </w:r>
          </w:p>
        </w:tc>
        <w:tc>
          <w:tcPr>
            <w:tcW w:type="dxa" w:w="1872"/>
          </w:tcPr>
          <w:p>
            <w:pPr>
              <w:jc w:val="center"/>
            </w:pPr>
            <w:r>
              <w:rPr>
                <w:rFonts w:ascii="Times New Roman" w:hAnsi="Times New Roman"/>
                <w:b w:val="0"/>
                <w:i w:val="0"/>
                <w:sz w:val="18"/>
              </w:rPr>
              <w:t>Mortality-prominent</w:t>
            </w:r>
          </w:p>
        </w:tc>
      </w:tr>
      <w:tr>
        <w:tc>
          <w:tcPr>
            <w:tcW w:type="dxa" w:w="3168"/>
          </w:tcPr>
          <w:p>
            <w:pPr>
              <w:jc w:val="left"/>
            </w:pPr>
            <w:r>
              <w:rPr>
                <w:rFonts w:ascii="Times New Roman" w:hAnsi="Times New Roman"/>
                <w:b w:val="0"/>
                <w:i w:val="0"/>
                <w:sz w:val="18"/>
              </w:rPr>
              <w:t>Chhattisgarh</w:t>
            </w:r>
          </w:p>
        </w:tc>
        <w:tc>
          <w:tcPr>
            <w:tcW w:type="dxa" w:w="1296"/>
          </w:tcPr>
          <w:p>
            <w:pPr>
              <w:jc w:val="center"/>
            </w:pPr>
            <w:r>
              <w:rPr>
                <w:rFonts w:ascii="Times New Roman" w:hAnsi="Times New Roman"/>
                <w:b w:val="0"/>
                <w:i w:val="0"/>
                <w:sz w:val="18"/>
              </w:rPr>
              <w:t>619</w:t>
            </w:r>
          </w:p>
        </w:tc>
        <w:tc>
          <w:tcPr>
            <w:tcW w:type="dxa" w:w="1296"/>
          </w:tcPr>
          <w:p>
            <w:pPr>
              <w:jc w:val="center"/>
            </w:pPr>
            <w:r>
              <w:rPr>
                <w:rFonts w:ascii="Times New Roman" w:hAnsi="Times New Roman"/>
                <w:b w:val="0"/>
                <w:i w:val="0"/>
                <w:sz w:val="18"/>
              </w:rPr>
              <w:t>95.3</w:t>
            </w:r>
          </w:p>
        </w:tc>
        <w:tc>
          <w:tcPr>
            <w:tcW w:type="dxa" w:w="1440"/>
          </w:tcPr>
          <w:p>
            <w:pPr>
              <w:jc w:val="center"/>
            </w:pPr>
            <w:r>
              <w:rPr>
                <w:rFonts w:ascii="Times New Roman" w:hAnsi="Times New Roman"/>
                <w:b w:val="0"/>
                <w:i w:val="0"/>
                <w:sz w:val="18"/>
              </w:rPr>
              <w:t>-2.20</w:t>
            </w:r>
          </w:p>
        </w:tc>
        <w:tc>
          <w:tcPr>
            <w:tcW w:type="dxa" w:w="1872"/>
          </w:tcPr>
          <w:p>
            <w:pPr>
              <w:jc w:val="center"/>
            </w:pPr>
            <w:r>
              <w:rPr>
                <w:rFonts w:ascii="Times New Roman" w:hAnsi="Times New Roman"/>
                <w:b w:val="0"/>
                <w:i w:val="0"/>
                <w:sz w:val="18"/>
              </w:rPr>
              <w:t>Mortality-prominent</w:t>
            </w:r>
          </w:p>
        </w:tc>
      </w:tr>
      <w:tr>
        <w:tc>
          <w:tcPr>
            <w:tcW w:type="dxa" w:w="3168"/>
          </w:tcPr>
          <w:p>
            <w:pPr>
              <w:jc w:val="left"/>
            </w:pPr>
            <w:r>
              <w:rPr>
                <w:rFonts w:ascii="Times New Roman" w:hAnsi="Times New Roman"/>
                <w:b w:val="0"/>
                <w:i w:val="0"/>
                <w:sz w:val="18"/>
              </w:rPr>
              <w:t>Uttarakhand</w:t>
            </w:r>
          </w:p>
        </w:tc>
        <w:tc>
          <w:tcPr>
            <w:tcW w:type="dxa" w:w="1296"/>
          </w:tcPr>
          <w:p>
            <w:pPr>
              <w:jc w:val="center"/>
            </w:pPr>
            <w:r>
              <w:rPr>
                <w:rFonts w:ascii="Times New Roman" w:hAnsi="Times New Roman"/>
                <w:b w:val="0"/>
                <w:i w:val="0"/>
                <w:sz w:val="18"/>
              </w:rPr>
              <w:t>717</w:t>
            </w:r>
          </w:p>
        </w:tc>
        <w:tc>
          <w:tcPr>
            <w:tcW w:type="dxa" w:w="1296"/>
          </w:tcPr>
          <w:p>
            <w:pPr>
              <w:jc w:val="center"/>
            </w:pPr>
            <w:r>
              <w:rPr>
                <w:rFonts w:ascii="Times New Roman" w:hAnsi="Times New Roman"/>
                <w:b w:val="0"/>
                <w:i w:val="0"/>
                <w:sz w:val="18"/>
              </w:rPr>
              <w:t>94.9</w:t>
            </w:r>
          </w:p>
        </w:tc>
        <w:tc>
          <w:tcPr>
            <w:tcW w:type="dxa" w:w="1440"/>
          </w:tcPr>
          <w:p>
            <w:pPr>
              <w:jc w:val="center"/>
            </w:pPr>
            <w:r>
              <w:rPr>
                <w:rFonts w:ascii="Times New Roman" w:hAnsi="Times New Roman"/>
                <w:b w:val="0"/>
                <w:i w:val="0"/>
                <w:sz w:val="18"/>
              </w:rPr>
              <w:t>-1.37</w:t>
            </w:r>
          </w:p>
        </w:tc>
        <w:tc>
          <w:tcPr>
            <w:tcW w:type="dxa" w:w="1872"/>
          </w:tcPr>
          <w:p>
            <w:pPr>
              <w:jc w:val="center"/>
            </w:pPr>
            <w:r>
              <w:rPr>
                <w:rFonts w:ascii="Times New Roman" w:hAnsi="Times New Roman"/>
                <w:b w:val="0"/>
                <w:i w:val="0"/>
                <w:sz w:val="18"/>
              </w:rPr>
              <w:t>Mortality-prominent</w:t>
            </w:r>
          </w:p>
        </w:tc>
      </w:tr>
      <w:tr>
        <w:tc>
          <w:tcPr>
            <w:tcW w:type="dxa" w:w="3168"/>
          </w:tcPr>
          <w:p>
            <w:pPr>
              <w:jc w:val="left"/>
            </w:pPr>
            <w:r>
              <w:rPr>
                <w:rFonts w:ascii="Times New Roman" w:hAnsi="Times New Roman"/>
                <w:b w:val="0"/>
                <w:i w:val="0"/>
                <w:sz w:val="18"/>
              </w:rPr>
              <w:t>Jharkhand</w:t>
            </w:r>
          </w:p>
        </w:tc>
        <w:tc>
          <w:tcPr>
            <w:tcW w:type="dxa" w:w="1296"/>
          </w:tcPr>
          <w:p>
            <w:pPr>
              <w:jc w:val="center"/>
            </w:pPr>
            <w:r>
              <w:rPr>
                <w:rFonts w:ascii="Times New Roman" w:hAnsi="Times New Roman"/>
                <w:b w:val="0"/>
                <w:i w:val="0"/>
                <w:sz w:val="18"/>
              </w:rPr>
              <w:t>597</w:t>
            </w:r>
          </w:p>
        </w:tc>
        <w:tc>
          <w:tcPr>
            <w:tcW w:type="dxa" w:w="1296"/>
          </w:tcPr>
          <w:p>
            <w:pPr>
              <w:jc w:val="center"/>
            </w:pPr>
            <w:r>
              <w:rPr>
                <w:rFonts w:ascii="Times New Roman" w:hAnsi="Times New Roman"/>
                <w:b w:val="0"/>
                <w:i w:val="0"/>
                <w:sz w:val="18"/>
              </w:rPr>
              <w:t>72.1</w:t>
            </w:r>
          </w:p>
        </w:tc>
        <w:tc>
          <w:tcPr>
            <w:tcW w:type="dxa" w:w="1440"/>
          </w:tcPr>
          <w:p>
            <w:pPr>
              <w:jc w:val="center"/>
            </w:pPr>
            <w:r>
              <w:rPr>
                <w:rFonts w:ascii="Times New Roman" w:hAnsi="Times New Roman"/>
                <w:b w:val="0"/>
                <w:i w:val="0"/>
                <w:sz w:val="18"/>
              </w:rPr>
              <w:t>-1.21</w:t>
            </w:r>
          </w:p>
        </w:tc>
        <w:tc>
          <w:tcPr>
            <w:tcW w:type="dxa" w:w="1872"/>
          </w:tcPr>
          <w:p>
            <w:pPr>
              <w:jc w:val="center"/>
            </w:pPr>
            <w:r>
              <w:rPr>
                <w:rFonts w:ascii="Times New Roman" w:hAnsi="Times New Roman"/>
                <w:b w:val="0"/>
                <w:i w:val="0"/>
                <w:sz w:val="18"/>
              </w:rPr>
              <w:t>Mortality-prominent</w:t>
            </w:r>
          </w:p>
        </w:tc>
      </w:tr>
      <w:tr>
        <w:tc>
          <w:tcPr>
            <w:tcW w:type="dxa" w:w="3168"/>
          </w:tcPr>
          <w:p>
            <w:pPr>
              <w:jc w:val="left"/>
            </w:pPr>
            <w:r>
              <w:rPr>
                <w:rFonts w:ascii="Times New Roman" w:hAnsi="Times New Roman"/>
                <w:b w:val="0"/>
                <w:i w:val="0"/>
                <w:sz w:val="18"/>
              </w:rPr>
              <w:t>Gujarat</w:t>
            </w:r>
          </w:p>
        </w:tc>
        <w:tc>
          <w:tcPr>
            <w:tcW w:type="dxa" w:w="1296"/>
          </w:tcPr>
          <w:p>
            <w:pPr>
              <w:jc w:val="center"/>
            </w:pPr>
            <w:r>
              <w:rPr>
                <w:rFonts w:ascii="Times New Roman" w:hAnsi="Times New Roman"/>
                <w:b w:val="0"/>
                <w:i w:val="0"/>
                <w:sz w:val="18"/>
              </w:rPr>
              <w:t>712</w:t>
            </w:r>
          </w:p>
        </w:tc>
        <w:tc>
          <w:tcPr>
            <w:tcW w:type="dxa" w:w="1296"/>
          </w:tcPr>
          <w:p>
            <w:pPr>
              <w:jc w:val="center"/>
            </w:pPr>
            <w:r>
              <w:rPr>
                <w:rFonts w:ascii="Times New Roman" w:hAnsi="Times New Roman"/>
                <w:b w:val="0"/>
                <w:i w:val="0"/>
                <w:sz w:val="18"/>
              </w:rPr>
              <w:t>88.6</w:t>
            </w:r>
          </w:p>
        </w:tc>
        <w:tc>
          <w:tcPr>
            <w:tcW w:type="dxa" w:w="1440"/>
          </w:tcPr>
          <w:p>
            <w:pPr>
              <w:jc w:val="center"/>
            </w:pPr>
            <w:r>
              <w:rPr>
                <w:rFonts w:ascii="Times New Roman" w:hAnsi="Times New Roman"/>
                <w:b w:val="0"/>
                <w:i w:val="0"/>
                <w:sz w:val="18"/>
              </w:rPr>
              <w:t>-1.10</w:t>
            </w:r>
          </w:p>
        </w:tc>
        <w:tc>
          <w:tcPr>
            <w:tcW w:type="dxa" w:w="1872"/>
          </w:tcPr>
          <w:p>
            <w:pPr>
              <w:jc w:val="center"/>
            </w:pPr>
            <w:r>
              <w:rPr>
                <w:rFonts w:ascii="Times New Roman" w:hAnsi="Times New Roman"/>
                <w:b w:val="0"/>
                <w:i w:val="0"/>
                <w:sz w:val="18"/>
              </w:rPr>
              <w:t>Mortality-prominent</w:t>
            </w:r>
          </w:p>
        </w:tc>
      </w:tr>
    </w:tbl>
    <w:p>
      <w:pPr>
        <w:spacing w:after="120"/>
        <w:jc w:val="left"/>
      </w:pPr>
      <w:r>
        <w:rPr>
          <w:rFonts w:ascii="Times New Roman" w:hAnsi="Times New Roman"/>
          <w:b w:val="0"/>
          <w:i/>
          <w:sz w:val="18"/>
        </w:rPr>
        <w:t>HDBI = z(YLD rate) - z(death rate). Positive values indicate relatively greater disability burden.</w:t>
      </w:r>
    </w:p>
    <w:p>
      <w:pPr>
        <w:spacing w:before="160" w:after="80"/>
      </w:pPr>
      <w:r>
        <w:rPr>
          <w:rFonts w:ascii="Times New Roman" w:hAnsi="Times New Roman"/>
          <w:b/>
          <w:i w:val="0"/>
          <w:sz w:val="22"/>
        </w:rPr>
        <w:t>Table 3. States with the largest road-injury surveillance mismatch.</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fill="D9EAF7"/>
          </w:tcPr>
          <w:p>
            <w:pPr>
              <w:jc w:val="center"/>
            </w:pPr>
            <w:r>
              <w:rPr>
                <w:rFonts w:ascii="Times New Roman" w:hAnsi="Times New Roman"/>
                <w:b/>
                <w:i w:val="0"/>
                <w:sz w:val="18"/>
              </w:rPr>
              <w:t>State/UT</w:t>
            </w:r>
          </w:p>
        </w:tc>
        <w:tc>
          <w:tcPr>
            <w:tcW w:type="dxa" w:w="1152"/>
            <w:shd w:fill="D9EAF7"/>
          </w:tcPr>
          <w:p>
            <w:pPr>
              <w:jc w:val="center"/>
            </w:pPr>
            <w:r>
              <w:rPr>
                <w:rFonts w:ascii="Times New Roman" w:hAnsi="Times New Roman"/>
                <w:b/>
                <w:i w:val="0"/>
                <w:sz w:val="18"/>
              </w:rPr>
              <w:t>GBD rank</w:t>
            </w:r>
          </w:p>
        </w:tc>
        <w:tc>
          <w:tcPr>
            <w:tcW w:type="dxa" w:w="1152"/>
            <w:shd w:fill="D9EAF7"/>
          </w:tcPr>
          <w:p>
            <w:pPr>
              <w:jc w:val="center"/>
            </w:pPr>
            <w:r>
              <w:rPr>
                <w:rFonts w:ascii="Times New Roman" w:hAnsi="Times New Roman"/>
                <w:b/>
                <w:i w:val="0"/>
                <w:sz w:val="18"/>
              </w:rPr>
              <w:t>MoRTH rank</w:t>
            </w:r>
          </w:p>
        </w:tc>
        <w:tc>
          <w:tcPr>
            <w:tcW w:type="dxa" w:w="1440"/>
            <w:shd w:fill="D9EAF7"/>
          </w:tcPr>
          <w:p>
            <w:pPr>
              <w:jc w:val="center"/>
            </w:pPr>
            <w:r>
              <w:rPr>
                <w:rFonts w:ascii="Times New Roman" w:hAnsi="Times New Roman"/>
                <w:b/>
                <w:i w:val="0"/>
                <w:sz w:val="18"/>
              </w:rPr>
              <w:t>Rank difference</w:t>
            </w:r>
          </w:p>
        </w:tc>
      </w:tr>
      <w:tr>
        <w:tc>
          <w:tcPr>
            <w:tcW w:type="dxa" w:w="3456"/>
          </w:tcPr>
          <w:p>
            <w:pPr>
              <w:jc w:val="left"/>
            </w:pPr>
            <w:r>
              <w:rPr>
                <w:rFonts w:ascii="Times New Roman" w:hAnsi="Times New Roman"/>
                <w:b w:val="0"/>
                <w:i w:val="0"/>
                <w:sz w:val="18"/>
              </w:rPr>
              <w:t>Bihar</w:t>
            </w:r>
          </w:p>
        </w:tc>
        <w:tc>
          <w:tcPr>
            <w:tcW w:type="dxa" w:w="1152"/>
          </w:tcPr>
          <w:p>
            <w:pPr>
              <w:jc w:val="center"/>
            </w:pPr>
            <w:r>
              <w:rPr>
                <w:rFonts w:ascii="Times New Roman" w:hAnsi="Times New Roman"/>
                <w:b w:val="0"/>
                <w:i w:val="0"/>
                <w:sz w:val="18"/>
              </w:rPr>
              <w:t>2</w:t>
            </w:r>
          </w:p>
        </w:tc>
        <w:tc>
          <w:tcPr>
            <w:tcW w:type="dxa" w:w="1152"/>
          </w:tcPr>
          <w:p>
            <w:pPr>
              <w:jc w:val="center"/>
            </w:pPr>
            <w:r>
              <w:rPr>
                <w:rFonts w:ascii="Times New Roman" w:hAnsi="Times New Roman"/>
                <w:b w:val="0"/>
                <w:i w:val="0"/>
                <w:sz w:val="18"/>
              </w:rPr>
              <w:t>7</w:t>
            </w:r>
          </w:p>
        </w:tc>
        <w:tc>
          <w:tcPr>
            <w:tcW w:type="dxa" w:w="1440"/>
          </w:tcPr>
          <w:p>
            <w:pPr>
              <w:jc w:val="center"/>
            </w:pPr>
            <w:r>
              <w:rPr>
                <w:rFonts w:ascii="Times New Roman" w:hAnsi="Times New Roman"/>
                <w:b w:val="0"/>
                <w:i w:val="0"/>
                <w:sz w:val="18"/>
              </w:rPr>
              <w:t>5</w:t>
            </w:r>
          </w:p>
        </w:tc>
      </w:tr>
      <w:tr>
        <w:tc>
          <w:tcPr>
            <w:tcW w:type="dxa" w:w="3456"/>
          </w:tcPr>
          <w:p>
            <w:pPr>
              <w:jc w:val="left"/>
            </w:pPr>
            <w:r>
              <w:rPr>
                <w:rFonts w:ascii="Times New Roman" w:hAnsi="Times New Roman"/>
                <w:b w:val="0"/>
                <w:i w:val="0"/>
                <w:sz w:val="18"/>
              </w:rPr>
              <w:t>Karnataka</w:t>
            </w:r>
          </w:p>
        </w:tc>
        <w:tc>
          <w:tcPr>
            <w:tcW w:type="dxa" w:w="1152"/>
          </w:tcPr>
          <w:p>
            <w:pPr>
              <w:jc w:val="center"/>
            </w:pPr>
            <w:r>
              <w:rPr>
                <w:rFonts w:ascii="Times New Roman" w:hAnsi="Times New Roman"/>
                <w:b w:val="0"/>
                <w:i w:val="0"/>
                <w:sz w:val="18"/>
              </w:rPr>
              <w:t>8</w:t>
            </w:r>
          </w:p>
        </w:tc>
        <w:tc>
          <w:tcPr>
            <w:tcW w:type="dxa" w:w="1152"/>
          </w:tcPr>
          <w:p>
            <w:pPr>
              <w:jc w:val="center"/>
            </w:pPr>
            <w:r>
              <w:rPr>
                <w:rFonts w:ascii="Times New Roman" w:hAnsi="Times New Roman"/>
                <w:b w:val="0"/>
                <w:i w:val="0"/>
                <w:sz w:val="18"/>
              </w:rPr>
              <w:t>5</w:t>
            </w:r>
          </w:p>
        </w:tc>
        <w:tc>
          <w:tcPr>
            <w:tcW w:type="dxa" w:w="1440"/>
          </w:tcPr>
          <w:p>
            <w:pPr>
              <w:jc w:val="center"/>
            </w:pPr>
            <w:r>
              <w:rPr>
                <w:rFonts w:ascii="Times New Roman" w:hAnsi="Times New Roman"/>
                <w:b w:val="0"/>
                <w:i w:val="0"/>
                <w:sz w:val="18"/>
              </w:rPr>
              <w:t>-3</w:t>
            </w:r>
          </w:p>
        </w:tc>
      </w:tr>
      <w:tr>
        <w:tc>
          <w:tcPr>
            <w:tcW w:type="dxa" w:w="3456"/>
          </w:tcPr>
          <w:p>
            <w:pPr>
              <w:jc w:val="left"/>
            </w:pPr>
            <w:r>
              <w:rPr>
                <w:rFonts w:ascii="Times New Roman" w:hAnsi="Times New Roman"/>
                <w:b w:val="0"/>
                <w:i w:val="0"/>
                <w:sz w:val="18"/>
              </w:rPr>
              <w:t>Gujarat</w:t>
            </w:r>
          </w:p>
        </w:tc>
        <w:tc>
          <w:tcPr>
            <w:tcW w:type="dxa" w:w="1152"/>
          </w:tcPr>
          <w:p>
            <w:pPr>
              <w:jc w:val="center"/>
            </w:pPr>
            <w:r>
              <w:rPr>
                <w:rFonts w:ascii="Times New Roman" w:hAnsi="Times New Roman"/>
                <w:b w:val="0"/>
                <w:i w:val="0"/>
                <w:sz w:val="18"/>
              </w:rPr>
              <w:t>6</w:t>
            </w:r>
          </w:p>
        </w:tc>
        <w:tc>
          <w:tcPr>
            <w:tcW w:type="dxa" w:w="1152"/>
          </w:tcPr>
          <w:p>
            <w:pPr>
              <w:jc w:val="center"/>
            </w:pPr>
            <w:r>
              <w:rPr>
                <w:rFonts w:ascii="Times New Roman" w:hAnsi="Times New Roman"/>
                <w:b w:val="0"/>
                <w:i w:val="0"/>
                <w:sz w:val="18"/>
              </w:rPr>
              <w:t>9</w:t>
            </w:r>
          </w:p>
        </w:tc>
        <w:tc>
          <w:tcPr>
            <w:tcW w:type="dxa" w:w="1440"/>
          </w:tcPr>
          <w:p>
            <w:pPr>
              <w:jc w:val="center"/>
            </w:pPr>
            <w:r>
              <w:rPr>
                <w:rFonts w:ascii="Times New Roman" w:hAnsi="Times New Roman"/>
                <w:b w:val="0"/>
                <w:i w:val="0"/>
                <w:sz w:val="18"/>
              </w:rPr>
              <w:t>3</w:t>
            </w:r>
          </w:p>
        </w:tc>
      </w:tr>
      <w:tr>
        <w:tc>
          <w:tcPr>
            <w:tcW w:type="dxa" w:w="3456"/>
          </w:tcPr>
          <w:p>
            <w:pPr>
              <w:jc w:val="left"/>
            </w:pPr>
            <w:r>
              <w:rPr>
                <w:rFonts w:ascii="Times New Roman" w:hAnsi="Times New Roman"/>
                <w:b w:val="0"/>
                <w:i w:val="0"/>
                <w:sz w:val="18"/>
              </w:rPr>
              <w:t>Andhra Pradesh</w:t>
            </w:r>
          </w:p>
        </w:tc>
        <w:tc>
          <w:tcPr>
            <w:tcW w:type="dxa" w:w="1152"/>
          </w:tcPr>
          <w:p>
            <w:pPr>
              <w:jc w:val="center"/>
            </w:pPr>
            <w:r>
              <w:rPr>
                <w:rFonts w:ascii="Times New Roman" w:hAnsi="Times New Roman"/>
                <w:b w:val="0"/>
                <w:i w:val="0"/>
                <w:sz w:val="18"/>
              </w:rPr>
              <w:t>10</w:t>
            </w:r>
          </w:p>
        </w:tc>
        <w:tc>
          <w:tcPr>
            <w:tcW w:type="dxa" w:w="1152"/>
          </w:tcPr>
          <w:p>
            <w:pPr>
              <w:jc w:val="center"/>
            </w:pPr>
            <w:r>
              <w:rPr>
                <w:rFonts w:ascii="Times New Roman" w:hAnsi="Times New Roman"/>
                <w:b w:val="0"/>
                <w:i w:val="0"/>
                <w:sz w:val="18"/>
              </w:rPr>
              <w:t>8</w:t>
            </w:r>
          </w:p>
        </w:tc>
        <w:tc>
          <w:tcPr>
            <w:tcW w:type="dxa" w:w="1440"/>
          </w:tcPr>
          <w:p>
            <w:pPr>
              <w:jc w:val="center"/>
            </w:pPr>
            <w:r>
              <w:rPr>
                <w:rFonts w:ascii="Times New Roman" w:hAnsi="Times New Roman"/>
                <w:b w:val="0"/>
                <w:i w:val="0"/>
                <w:sz w:val="18"/>
              </w:rPr>
              <w:t>-2</w:t>
            </w:r>
          </w:p>
        </w:tc>
      </w:tr>
      <w:tr>
        <w:tc>
          <w:tcPr>
            <w:tcW w:type="dxa" w:w="3456"/>
          </w:tcPr>
          <w:p>
            <w:pPr>
              <w:jc w:val="left"/>
            </w:pPr>
            <w:r>
              <w:rPr>
                <w:rFonts w:ascii="Times New Roman" w:hAnsi="Times New Roman"/>
                <w:b w:val="0"/>
                <w:i w:val="0"/>
                <w:sz w:val="18"/>
              </w:rPr>
              <w:t>Maharashtra</w:t>
            </w:r>
          </w:p>
        </w:tc>
        <w:tc>
          <w:tcPr>
            <w:tcW w:type="dxa" w:w="1152"/>
          </w:tcPr>
          <w:p>
            <w:pPr>
              <w:jc w:val="center"/>
            </w:pPr>
            <w:r>
              <w:rPr>
                <w:rFonts w:ascii="Times New Roman" w:hAnsi="Times New Roman"/>
                <w:b w:val="0"/>
                <w:i w:val="0"/>
                <w:sz w:val="18"/>
              </w:rPr>
              <w:t>5</w:t>
            </w:r>
          </w:p>
        </w:tc>
        <w:tc>
          <w:tcPr>
            <w:tcW w:type="dxa" w:w="1152"/>
          </w:tcPr>
          <w:p>
            <w:pPr>
              <w:jc w:val="center"/>
            </w:pPr>
            <w:r>
              <w:rPr>
                <w:rFonts w:ascii="Times New Roman" w:hAnsi="Times New Roman"/>
                <w:b w:val="0"/>
                <w:i w:val="0"/>
                <w:sz w:val="18"/>
              </w:rPr>
              <w:t>3</w:t>
            </w:r>
          </w:p>
        </w:tc>
        <w:tc>
          <w:tcPr>
            <w:tcW w:type="dxa" w:w="1440"/>
          </w:tcPr>
          <w:p>
            <w:pPr>
              <w:jc w:val="center"/>
            </w:pPr>
            <w:r>
              <w:rPr>
                <w:rFonts w:ascii="Times New Roman" w:hAnsi="Times New Roman"/>
                <w:b w:val="0"/>
                <w:i w:val="0"/>
                <w:sz w:val="18"/>
              </w:rPr>
              <w:t>-2</w:t>
            </w:r>
          </w:p>
        </w:tc>
      </w:tr>
      <w:tr>
        <w:tc>
          <w:tcPr>
            <w:tcW w:type="dxa" w:w="3456"/>
          </w:tcPr>
          <w:p>
            <w:pPr>
              <w:jc w:val="left"/>
            </w:pPr>
            <w:r>
              <w:rPr>
                <w:rFonts w:ascii="Times New Roman" w:hAnsi="Times New Roman"/>
                <w:b w:val="0"/>
                <w:i w:val="0"/>
                <w:sz w:val="18"/>
              </w:rPr>
              <w:t>Tamil Nadu</w:t>
            </w:r>
          </w:p>
        </w:tc>
        <w:tc>
          <w:tcPr>
            <w:tcW w:type="dxa" w:w="1152"/>
          </w:tcPr>
          <w:p>
            <w:pPr>
              <w:jc w:val="center"/>
            </w:pPr>
            <w:r>
              <w:rPr>
                <w:rFonts w:ascii="Times New Roman" w:hAnsi="Times New Roman"/>
                <w:b w:val="0"/>
                <w:i w:val="0"/>
                <w:sz w:val="18"/>
              </w:rPr>
              <w:t>4</w:t>
            </w:r>
          </w:p>
        </w:tc>
        <w:tc>
          <w:tcPr>
            <w:tcW w:type="dxa" w:w="1152"/>
          </w:tcPr>
          <w:p>
            <w:pPr>
              <w:jc w:val="center"/>
            </w:pPr>
            <w:r>
              <w:rPr>
                <w:rFonts w:ascii="Times New Roman" w:hAnsi="Times New Roman"/>
                <w:b w:val="0"/>
                <w:i w:val="0"/>
                <w:sz w:val="18"/>
              </w:rPr>
              <w:t>2</w:t>
            </w:r>
          </w:p>
        </w:tc>
        <w:tc>
          <w:tcPr>
            <w:tcW w:type="dxa" w:w="1440"/>
          </w:tcPr>
          <w:p>
            <w:pPr>
              <w:jc w:val="center"/>
            </w:pPr>
            <w:r>
              <w:rPr>
                <w:rFonts w:ascii="Times New Roman" w:hAnsi="Times New Roman"/>
                <w:b w:val="0"/>
                <w:i w:val="0"/>
                <w:sz w:val="18"/>
              </w:rPr>
              <w:t>-2</w:t>
            </w:r>
          </w:p>
        </w:tc>
      </w:tr>
      <w:tr>
        <w:tc>
          <w:tcPr>
            <w:tcW w:type="dxa" w:w="3456"/>
          </w:tcPr>
          <w:p>
            <w:pPr>
              <w:jc w:val="left"/>
            </w:pPr>
            <w:r>
              <w:rPr>
                <w:rFonts w:ascii="Times New Roman" w:hAnsi="Times New Roman"/>
                <w:b w:val="0"/>
                <w:i w:val="0"/>
                <w:sz w:val="18"/>
              </w:rPr>
              <w:t>Rajasthan</w:t>
            </w:r>
          </w:p>
        </w:tc>
        <w:tc>
          <w:tcPr>
            <w:tcW w:type="dxa" w:w="1152"/>
          </w:tcPr>
          <w:p>
            <w:pPr>
              <w:jc w:val="center"/>
            </w:pPr>
            <w:r>
              <w:rPr>
                <w:rFonts w:ascii="Times New Roman" w:hAnsi="Times New Roman"/>
                <w:b w:val="0"/>
                <w:i w:val="0"/>
                <w:sz w:val="18"/>
              </w:rPr>
              <w:t>7</w:t>
            </w:r>
          </w:p>
        </w:tc>
        <w:tc>
          <w:tcPr>
            <w:tcW w:type="dxa" w:w="1152"/>
          </w:tcPr>
          <w:p>
            <w:pPr>
              <w:jc w:val="center"/>
            </w:pPr>
            <w:r>
              <w:rPr>
                <w:rFonts w:ascii="Times New Roman" w:hAnsi="Times New Roman"/>
                <w:b w:val="0"/>
                <w:i w:val="0"/>
                <w:sz w:val="18"/>
              </w:rPr>
              <w:t>6</w:t>
            </w:r>
          </w:p>
        </w:tc>
        <w:tc>
          <w:tcPr>
            <w:tcW w:type="dxa" w:w="1440"/>
          </w:tcPr>
          <w:p>
            <w:pPr>
              <w:jc w:val="center"/>
            </w:pPr>
            <w:r>
              <w:rPr>
                <w:rFonts w:ascii="Times New Roman" w:hAnsi="Times New Roman"/>
                <w:b w:val="0"/>
                <w:i w:val="0"/>
                <w:sz w:val="18"/>
              </w:rPr>
              <w:t>-1</w:t>
            </w:r>
          </w:p>
        </w:tc>
      </w:tr>
      <w:tr>
        <w:tc>
          <w:tcPr>
            <w:tcW w:type="dxa" w:w="3456"/>
          </w:tcPr>
          <w:p>
            <w:pPr>
              <w:jc w:val="left"/>
            </w:pPr>
            <w:r>
              <w:rPr>
                <w:rFonts w:ascii="Times New Roman" w:hAnsi="Times New Roman"/>
                <w:b w:val="0"/>
                <w:i w:val="0"/>
                <w:sz w:val="18"/>
              </w:rPr>
              <w:t>Madhya Pradesh</w:t>
            </w:r>
          </w:p>
        </w:tc>
        <w:tc>
          <w:tcPr>
            <w:tcW w:type="dxa" w:w="1152"/>
          </w:tcPr>
          <w:p>
            <w:pPr>
              <w:jc w:val="center"/>
            </w:pPr>
            <w:r>
              <w:rPr>
                <w:rFonts w:ascii="Times New Roman" w:hAnsi="Times New Roman"/>
                <w:b w:val="0"/>
                <w:i w:val="0"/>
                <w:sz w:val="18"/>
              </w:rPr>
              <w:t>3</w:t>
            </w:r>
          </w:p>
        </w:tc>
        <w:tc>
          <w:tcPr>
            <w:tcW w:type="dxa" w:w="1152"/>
          </w:tcPr>
          <w:p>
            <w:pPr>
              <w:jc w:val="center"/>
            </w:pPr>
            <w:r>
              <w:rPr>
                <w:rFonts w:ascii="Times New Roman" w:hAnsi="Times New Roman"/>
                <w:b w:val="0"/>
                <w:i w:val="0"/>
                <w:sz w:val="18"/>
              </w:rPr>
              <w:t>4</w:t>
            </w:r>
          </w:p>
        </w:tc>
        <w:tc>
          <w:tcPr>
            <w:tcW w:type="dxa" w:w="1440"/>
          </w:tcPr>
          <w:p>
            <w:pPr>
              <w:jc w:val="center"/>
            </w:pPr>
            <w:r>
              <w:rPr>
                <w:rFonts w:ascii="Times New Roman" w:hAnsi="Times New Roman"/>
                <w:b w:val="0"/>
                <w:i w:val="0"/>
                <w:sz w:val="18"/>
              </w:rPr>
              <w:t>1</w:t>
            </w:r>
          </w:p>
        </w:tc>
      </w:tr>
    </w:tbl>
    <w:p>
      <w:pPr>
        <w:spacing w:after="120"/>
        <w:jc w:val="left"/>
      </w:pPr>
      <w:r>
        <w:rPr>
          <w:rFonts w:ascii="Times New Roman" w:hAnsi="Times New Roman"/>
          <w:b w:val="0"/>
          <w:i/>
          <w:sz w:val="18"/>
        </w:rPr>
        <w:t>Positive values indicate a state ranked higher on MoRTH road deaths than on GBD road DALYs.</w:t>
      </w:r>
    </w:p>
    <w:p>
      <w:pPr>
        <w:spacing w:before="160" w:after="80"/>
      </w:pPr>
      <w:r>
        <w:rPr>
          <w:rFonts w:ascii="Times New Roman" w:hAnsi="Times New Roman"/>
          <w:b/>
          <w:i w:val="0"/>
          <w:sz w:val="24"/>
        </w:rPr>
        <w:t>FIGURE LEGENDS</w:t>
      </w:r>
    </w:p>
    <w:p>
      <w:pPr>
        <w:spacing w:after="120"/>
        <w:jc w:val="both"/>
      </w:pPr>
      <w:r>
        <w:rPr>
          <w:rFonts w:ascii="Times New Roman" w:hAnsi="Times New Roman"/>
          <w:b w:val="0"/>
          <w:i w:val="0"/>
          <w:sz w:val="24"/>
        </w:rPr>
        <w:t>Fig 1. India choropleth of age-standardised injury DALY rate per 100,000 population in 2021. Darker colours indicate higher burden. Boundary notes are provided in the figure itself.</w:t>
      </w:r>
    </w:p>
    <w:p>
      <w:pPr>
        <w:spacing w:after="120"/>
        <w:jc w:val="both"/>
      </w:pPr>
      <w:r>
        <w:rPr>
          <w:rFonts w:ascii="Times New Roman" w:hAnsi="Times New Roman"/>
          <w:b w:val="0"/>
          <w:i w:val="0"/>
          <w:sz w:val="24"/>
        </w:rPr>
        <w:t>Fig 2. Hidden Disability Burden Index by state in 2021. Positive scores identify states where disability burden is disproportionately high relative to mortality burden.</w:t>
      </w:r>
    </w:p>
    <w:p>
      <w:pPr>
        <w:spacing w:after="120"/>
        <w:jc w:val="both"/>
      </w:pPr>
      <w:r>
        <w:rPr>
          <w:rFonts w:ascii="Times New Roman" w:hAnsi="Times New Roman"/>
          <w:b w:val="0"/>
          <w:i w:val="0"/>
          <w:sz w:val="24"/>
        </w:rPr>
        <w:t>Supplementary Fig S1. Cause-specific injury DALY heatmap by state.</w:t>
      </w:r>
    </w:p>
    <w:p>
      <w:pPr>
        <w:spacing w:after="120"/>
        <w:jc w:val="both"/>
      </w:pPr>
      <w:r>
        <w:rPr>
          <w:rFonts w:ascii="Times New Roman" w:hAnsi="Times New Roman"/>
          <w:b w:val="0"/>
          <w:i w:val="0"/>
          <w:sz w:val="24"/>
        </w:rPr>
        <w:t>Supplementary Fig S2. Short trend series for total DALYs, deaths and YLDs across the available state-level extract years.</w:t>
      </w:r>
    </w:p>
    <w:p>
      <w:pPr>
        <w:spacing w:after="120"/>
        <w:jc w:val="both"/>
      </w:pPr>
      <w:r>
        <w:rPr>
          <w:rFonts w:ascii="Times New Roman" w:hAnsi="Times New Roman"/>
          <w:b w:val="0"/>
          <w:i w:val="0"/>
          <w:sz w:val="24"/>
        </w:rPr>
        <w:t>Supplementary Fig S3. State typology scatter plot of death rate versus YLD rate.</w:t>
      </w:r>
    </w:p>
    <w:p>
      <w:pPr>
        <w:spacing w:after="120"/>
        <w:jc w:val="both"/>
      </w:pPr>
      <w:r>
        <w:rPr>
          <w:rFonts w:ascii="Times New Roman" w:hAnsi="Times New Roman"/>
          <w:b w:val="0"/>
          <w:i w:val="0"/>
          <w:sz w:val="24"/>
        </w:rPr>
        <w:t>Supplementary Fig S4. Road-injury surveillance-burden rank mismatch plot.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