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Times New Roman" w:hAnsi="Times New Roman"/>
          <w:b/>
          <w:i w:val="0"/>
          <w:sz w:val="28"/>
        </w:rPr>
        <w:t>Figures</w:t>
      </w: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Fig 1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2"/>
        </w:rPr>
        <w:t>Main figure. State-level injury DALY map in 2021.</w:t>
      </w:r>
    </w:p>
    <w:p>
      <w:r>
        <w:drawing>
          <wp:inline xmlns:a="http://schemas.openxmlformats.org/drawingml/2006/main" xmlns:pic="http://schemas.openxmlformats.org/drawingml/2006/picture">
            <wp:extent cx="5760720" cy="6561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aly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61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Fig 2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2"/>
        </w:rPr>
        <w:t>Main figure. Hidden Disability Burden Index by state in 2021.</w:t>
      </w:r>
    </w:p>
    <w:p>
      <w:r>
        <w:drawing>
          <wp:inline xmlns:a="http://schemas.openxmlformats.org/drawingml/2006/main" xmlns:pic="http://schemas.openxmlformats.org/drawingml/2006/picture">
            <wp:extent cx="5760720" cy="45461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dbi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6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Supplementary Fig S1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2"/>
        </w:rPr>
        <w:t>Cause-specific injury DALY heatmap by state.</w:t>
      </w:r>
    </w:p>
    <w:p>
      <w:r>
        <w:drawing>
          <wp:inline xmlns:a="http://schemas.openxmlformats.org/drawingml/2006/main" xmlns:pic="http://schemas.openxmlformats.org/drawingml/2006/picture">
            <wp:extent cx="5760720" cy="57071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Supplementary Fig S2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2"/>
        </w:rPr>
        <w:t>Available-year trend series for total DALYs, deaths and YLDs.</w:t>
      </w:r>
    </w:p>
    <w:p>
      <w:r>
        <w:drawing>
          <wp:inline xmlns:a="http://schemas.openxmlformats.org/drawingml/2006/main" xmlns:pic="http://schemas.openxmlformats.org/drawingml/2006/picture">
            <wp:extent cx="5760720" cy="38864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re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6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Supplementary Fig S3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2"/>
        </w:rPr>
        <w:t>State typology by death rate and YLD rate.</w:t>
      </w:r>
    </w:p>
    <w:p>
      <w:r>
        <w:drawing>
          <wp:inline xmlns:a="http://schemas.openxmlformats.org/drawingml/2006/main" xmlns:pic="http://schemas.openxmlformats.org/drawingml/2006/picture">
            <wp:extent cx="5760720" cy="4809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quadr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</w:p>
    <w:p>
      <w:pPr>
        <w:spacing w:after="80"/>
        <w:jc w:val="left"/>
      </w:pPr>
      <w:r>
        <w:rPr>
          <w:rFonts w:ascii="Times New Roman" w:hAnsi="Times New Roman"/>
          <w:b/>
          <w:i w:val="0"/>
          <w:sz w:val="24"/>
        </w:rPr>
        <w:t>Supplementary Fig S4</w:t>
      </w:r>
    </w:p>
    <w:p>
      <w:pPr>
        <w:spacing w:after="120"/>
        <w:jc w:val="left"/>
      </w:pPr>
      <w:r>
        <w:rPr>
          <w:rFonts w:ascii="Times New Roman" w:hAnsi="Times New Roman"/>
          <w:b w:val="0"/>
          <w:i w:val="0"/>
          <w:sz w:val="22"/>
        </w:rPr>
        <w:t>Road-injury surveillance-burden rank mismatch.</w:t>
      </w:r>
    </w:p>
    <w:p>
      <w:r>
        <w:drawing>
          <wp:inline xmlns:a="http://schemas.openxmlformats.org/drawingml/2006/main" xmlns:pic="http://schemas.openxmlformats.org/drawingml/2006/picture">
            <wp:extent cx="5760720" cy="379486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mismat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4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