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480" w:lineRule="auto"/>
        <w:jc w:val="center"/>
      </w:pPr>
      <w:r>
        <w:rPr>
          <w:b/>
          <w:i w:val="0"/>
          <w:sz w:val="24"/>
        </w:rP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434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all_injury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43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left"/>
      </w:pPr>
      <w:r>
        <w:rPr>
          <w:b w:val="0"/>
          <w:i w:val="0"/>
          <w:sz w:val="22"/>
        </w:rPr>
        <w:t>Figure 1. District all-injury mortality rate per 100 000 (posterior mean, GBD/NCRB-fused), 702 districts, 2023.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434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all_injury_complete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43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left"/>
      </w:pPr>
      <w:r>
        <w:rPr>
          <w:b w:val="0"/>
          <w:i w:val="0"/>
          <w:sz w:val="22"/>
        </w:rPr>
        <w:t>Figure 2. Estimated injury surveillance completeness (administrative/true deaths) by district, all-injury; red indicates severe under-capture.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434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all_injury_uncertain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434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left"/>
      </w:pPr>
      <w:r>
        <w:rPr>
          <w:b w:val="0"/>
          <w:i w:val="0"/>
          <w:sz w:val="22"/>
        </w:rPr>
        <w:t>Figure 3. Posterior uncertainty (95% credible-interval width) in district all-injury mortality rate.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