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480" w:lineRule="auto"/>
        <w:jc w:val="center"/>
      </w:pPr>
      <w:r>
        <w:rPr>
          <w:b/>
          <w:i w:val="0"/>
          <w:sz w:val="24"/>
        </w:rPr>
        <w:t>Supplementary Material</w:t>
      </w:r>
    </w:p>
    <w:p>
      <w:pPr>
        <w:spacing w:after="240" w:line="480" w:lineRule="auto"/>
        <w:jc w:val="center"/>
      </w:pPr>
      <w:r>
        <w:rPr>
          <w:b w:val="0"/>
          <w:i/>
          <w:sz w:val="24"/>
        </w:rPr>
        <w:t>Where India's injury deaths go uncounted: a district atlas of fatal injury burden and surveillance completeness</w:t>
      </w:r>
    </w:p>
    <w:p>
      <w:pPr>
        <w:spacing w:after="120" w:line="480" w:lineRule="auto"/>
        <w:jc w:val="left"/>
      </w:pPr>
      <w:r>
        <w:rPr>
          <w:b/>
          <w:i w:val="0"/>
          <w:sz w:val="24"/>
        </w:rPr>
        <w:t>S1. Model specification</w:t>
      </w:r>
    </w:p>
    <w:p>
      <w:pPr>
        <w:spacing w:after="120" w:line="360" w:lineRule="auto"/>
        <w:jc w:val="both"/>
      </w:pPr>
      <w:r>
        <w:rPr>
          <w:b w:val="0"/>
          <w:i w:val="0"/>
          <w:sz w:val="24"/>
        </w:rPr>
        <w:t>For cause k and State s, the true death count T[s] followed a log-normal prior centred on the GBD estimate with scale set from the reported 95% uncertainty interval. The administrative count was modelled as Poisson with mean T[s]·c[s], where c[s] is the population-weighted mean of district completeness c[d]. District completeness followed logit(c[d]) = γ + η·urbanicity[d] + w[d], with w a lightly smoothed term. The true district rate followed log λ[d] = α + Xβ + τ·φ[d] + v[d], with φ an ICAR field on the queen-contiguity district graph and v unstructured heterogeneity; λ[d] was rescaled within each State so that the population-weighted mean equalled the fused State rate. City anchors contributed a Poisson likelihood with mean pop_city·λ[d]·c[d].</w:t>
      </w:r>
    </w:p>
    <w:p>
      <w:pPr>
        <w:spacing w:after="120" w:line="480" w:lineRule="auto"/>
        <w:jc w:val="left"/>
      </w:pPr>
      <w:r>
        <w:rPr>
          <w:b/>
          <w:i w:val="0"/>
          <w:sz w:val="24"/>
        </w:rPr>
        <w:t>S2. Convergence</w:t>
      </w:r>
    </w:p>
    <w:p>
      <w:pPr>
        <w:spacing w:after="60" w:line="240" w:lineRule="auto"/>
        <w:jc w:val="left"/>
      </w:pPr>
      <w:r>
        <w:rPr>
          <w:b/>
          <w:i w:val="0"/>
          <w:sz w:val="24"/>
        </w:rPr>
        <w:t>Table S1. Convergence diagnostics by cause.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max R-hat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min ESS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Anchored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all_injury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296.0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road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228.0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falls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735.0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drowning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319.0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burns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463.0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suicide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1.01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335.0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True</w:t>
            </w:r>
          </w:p>
        </w:tc>
      </w:tr>
    </w:tbl>
    <w:p>
      <w:pPr>
        <w:spacing w:after="120" w:line="240" w:lineRule="auto"/>
        <w:jc w:val="both"/>
      </w:pPr>
      <w:r>
        <w:rPr>
          <w:b w:val="0"/>
          <w:i/>
          <w:sz w:val="18"/>
        </w:rPr>
        <w:t>R-hat &lt; 1.05 and effective sample size (ESS) indicate satisfactory convergence.</w:t>
      </w:r>
    </w:p>
    <w:p>
      <w:pPr>
        <w:spacing w:after="120" w:line="480" w:lineRule="auto"/>
        <w:jc w:val="left"/>
      </w:pPr>
      <w:r>
        <w:rPr>
          <w:b/>
          <w:i w:val="0"/>
          <w:sz w:val="24"/>
        </w:rPr>
        <w:t>S3. Sensitivity analysis</w:t>
      </w:r>
    </w:p>
    <w:p>
      <w:pPr>
        <w:spacing w:after="60" w:line="240" w:lineRule="auto"/>
        <w:jc w:val="left"/>
      </w:pPr>
      <w:r>
        <w:rPr>
          <w:b/>
          <w:i w:val="0"/>
          <w:sz w:val="24"/>
        </w:rPr>
        <w:t>Table S2. Structural sensitivity (road), five-fold city cross-validation.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b/>
                <w:sz w:val="18"/>
              </w:rPr>
              <w:t>Variant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CV log-RMSE</w:t>
            </w:r>
          </w:p>
        </w:tc>
        <w:tc>
          <w:tcPr>
            <w:tcW w:type="dxa" w:w="2351"/>
          </w:tcPr>
          <w:p>
            <w:r/>
            <w:r>
              <w:rPr>
                <w:b/>
                <w:sz w:val="18"/>
              </w:rPr>
              <w:t>Mean completeness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base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road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0.884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no_icar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road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0.851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0.3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fix_eta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road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0.897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0.31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wide_eta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road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0.879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0.3</w:t>
            </w:r>
          </w:p>
        </w:tc>
      </w:tr>
    </w:tbl>
    <w:p>
      <w:pPr>
        <w:spacing w:after="120" w:line="240" w:lineRule="auto"/>
        <w:jc w:val="both"/>
      </w:pPr>
      <w:r>
        <w:rPr>
          <w:b w:val="0"/>
          <w:i/>
          <w:sz w:val="18"/>
        </w:rPr>
        <w:t>base: full model; no_icar: spatial term removed; fix_eta: completeness held constant within State; wide_eta: diffuse completeness-slope prior.</w:t>
      </w:r>
    </w:p>
    <w:p>
      <w:pPr>
        <w:spacing w:after="120" w:line="480" w:lineRule="auto"/>
        <w:jc w:val="left"/>
      </w:pPr>
      <w:r>
        <w:rPr>
          <w:b/>
          <w:i w:val="0"/>
          <w:sz w:val="24"/>
        </w:rPr>
        <w:t>S4. Per-cause maps</w:t>
      </w:r>
    </w:p>
    <w:p>
      <w:pPr>
        <w:spacing w:after="120" w:line="360" w:lineRule="auto"/>
        <w:jc w:val="both"/>
      </w:pPr>
      <w:r>
        <w:rPr>
          <w:b w:val="0"/>
          <w:i w:val="0"/>
          <w:sz w:val="24"/>
        </w:rPr>
        <w:t>High-resolution rate, completeness and uncertainty choropleths for all six causes are provided in the figures folder of the code repository.</w:t>
      </w:r>
    </w:p>
    <w:p>
      <w:pPr>
        <w:spacing w:after="120" w:line="480" w:lineRule="auto"/>
        <w:jc w:val="left"/>
      </w:pPr>
      <w:r>
        <w:rPr>
          <w:b/>
          <w:i w:val="0"/>
          <w:sz w:val="24"/>
        </w:rPr>
        <w:t>S5. Data sources</w:t>
      </w:r>
    </w:p>
    <w:p>
      <w:pPr>
        <w:spacing w:after="120" w:line="360" w:lineRule="auto"/>
        <w:jc w:val="both"/>
      </w:pPr>
      <w:r>
        <w:rPr>
          <w:b w:val="0"/>
          <w:i w:val="0"/>
          <w:sz w:val="24"/>
        </w:rPr>
        <w:t>GBD 2023 (IHME); NCRB ADSI 2023 (Ministry of Home Affairs); Census of India 2011; NFHS-5 district factsheets (IIPS); geoBoundaries ADM2. All public. Extraction and modelling code: https://github.com/hssling/injury-india-public-health.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