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i w:val="0"/>
          <w:sz w:val="28"/>
        </w:rPr>
        <w:t>Figures</w:t>
      </w: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1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State-level injury DALY map, 2021.</w:t>
      </w:r>
    </w:p>
    <w:p>
      <w:r>
        <w:drawing>
          <wp:inline xmlns:a="http://schemas.openxmlformats.org/drawingml/2006/main" xmlns:pic="http://schemas.openxmlformats.org/drawingml/2006/picture">
            <wp:extent cx="5760720" cy="6561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l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2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Hidden Disability Burden Index by state, 2021.</w:t>
      </w:r>
    </w:p>
    <w:p>
      <w:r>
        <w:drawing>
          <wp:inline xmlns:a="http://schemas.openxmlformats.org/drawingml/2006/main" xmlns:pic="http://schemas.openxmlformats.org/drawingml/2006/picture">
            <wp:extent cx="5760720" cy="4546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dbi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3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Cause-specific injury DALY heatmap by state.</w:t>
      </w:r>
    </w:p>
    <w:p>
      <w:r>
        <w:drawing>
          <wp:inline xmlns:a="http://schemas.openxmlformats.org/drawingml/2006/main" xmlns:pic="http://schemas.openxmlformats.org/drawingml/2006/picture">
            <wp:extent cx="5760720" cy="5707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4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Available-year trend series for burden totals.</w:t>
      </w:r>
    </w:p>
    <w:p>
      <w:r>
        <w:drawing>
          <wp:inline xmlns:a="http://schemas.openxmlformats.org/drawingml/2006/main" xmlns:pic="http://schemas.openxmlformats.org/drawingml/2006/picture">
            <wp:extent cx="5760720" cy="3886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5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State typology by death rate and YLD rate.</w:t>
      </w:r>
    </w:p>
    <w:p>
      <w:r>
        <w:drawing>
          <wp:inline xmlns:a="http://schemas.openxmlformats.org/drawingml/2006/main" xmlns:pic="http://schemas.openxmlformats.org/drawingml/2006/picture">
            <wp:extent cx="5760720" cy="4809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p>
      <w:pPr>
        <w:spacing w:before="0" w:after="60"/>
        <w:jc w:val="left"/>
      </w:pPr>
      <w:r>
        <w:rPr>
          <w:rFonts w:ascii="Times New Roman" w:hAnsi="Times New Roman"/>
          <w:b/>
          <w:i w:val="0"/>
          <w:sz w:val="24"/>
        </w:rPr>
        <w:t>Fig 6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Road-injury surveillance-burden rank mismatch.</w:t>
      </w:r>
    </w:p>
    <w:p>
      <w:r>
        <w:drawing>
          <wp:inline xmlns:a="http://schemas.openxmlformats.org/drawingml/2006/main" xmlns:pic="http://schemas.openxmlformats.org/drawingml/2006/picture">
            <wp:extent cx="5760720" cy="3794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is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