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480" w:lineRule="auto"/>
        <w:jc w:val="left"/>
      </w:pPr>
      <w:r>
        <w:rPr>
          <w:b/>
          <w:i w:val="0"/>
          <w:sz w:val="24"/>
        </w:rPr>
        <w:t>Declarations</w:t>
      </w:r>
    </w:p>
    <w:p>
      <w:pPr>
        <w:spacing w:after="40" w:line="480" w:lineRule="auto"/>
        <w:jc w:val="left"/>
      </w:pPr>
      <w:r>
        <w:rPr>
          <w:b/>
          <w:i w:val="0"/>
          <w:sz w:val="24"/>
        </w:rPr>
        <w:t>Financial support &amp; sponsorship:</w:t>
      </w:r>
    </w:p>
    <w:p>
      <w:pPr>
        <w:spacing w:after="120" w:line="480" w:lineRule="auto"/>
        <w:jc w:val="both"/>
      </w:pPr>
      <w:r>
        <w:rPr>
          <w:b w:val="0"/>
          <w:i w:val="0"/>
          <w:sz w:val="24"/>
        </w:rPr>
        <w:t>None.</w:t>
      </w:r>
    </w:p>
    <w:p>
      <w:pPr>
        <w:spacing w:after="40" w:line="480" w:lineRule="auto"/>
        <w:jc w:val="left"/>
      </w:pPr>
      <w:r>
        <w:rPr>
          <w:b/>
          <w:i w:val="0"/>
          <w:sz w:val="24"/>
        </w:rPr>
        <w:t>Conflicts of interest:</w:t>
      </w:r>
    </w:p>
    <w:p>
      <w:pPr>
        <w:spacing w:after="120" w:line="480" w:lineRule="auto"/>
        <w:jc w:val="both"/>
      </w:pPr>
      <w:r>
        <w:rPr>
          <w:b w:val="0"/>
          <w:i w:val="0"/>
          <w:sz w:val="24"/>
        </w:rPr>
        <w:t>None declared.</w:t>
      </w:r>
    </w:p>
    <w:p>
      <w:pPr>
        <w:spacing w:after="40" w:line="480" w:lineRule="auto"/>
        <w:jc w:val="left"/>
      </w:pPr>
      <w:r>
        <w:rPr>
          <w:b/>
          <w:i w:val="0"/>
          <w:sz w:val="24"/>
        </w:rPr>
        <w:t>Ethical approval:</w:t>
      </w:r>
    </w:p>
    <w:p>
      <w:pPr>
        <w:spacing w:after="120" w:line="480" w:lineRule="auto"/>
        <w:jc w:val="both"/>
      </w:pPr>
      <w:r>
        <w:rPr>
          <w:b w:val="0"/>
          <w:i w:val="0"/>
          <w:sz w:val="24"/>
        </w:rPr>
        <w:t>This study used only aggregate, publicly available secondary data (GBD 2023, NCRB ADSI 2023, NFHS-5 district factsheets, and Census of India 2011) with no individual identifiers; institutional ethics approval was therefore not required.</w:t>
      </w:r>
    </w:p>
    <w:p>
      <w:pPr>
        <w:spacing w:after="40" w:line="480" w:lineRule="auto"/>
        <w:jc w:val="left"/>
      </w:pPr>
      <w:r>
        <w:rPr>
          <w:b/>
          <w:i w:val="0"/>
          <w:sz w:val="24"/>
        </w:rPr>
        <w:t>Data and code availability:</w:t>
      </w:r>
    </w:p>
    <w:p>
      <w:pPr>
        <w:spacing w:after="120" w:line="480" w:lineRule="auto"/>
        <w:jc w:val="both"/>
      </w:pPr>
      <w:r>
        <w:rPr>
          <w:b w:val="0"/>
          <w:i w:val="0"/>
          <w:sz w:val="24"/>
        </w:rPr>
        <w:t>All input data are public. Derived tables and the full, reproducible analysis code are available at https://github.com/hssling/injury-india-public-health.</w:t>
      </w:r>
    </w:p>
    <w:p>
      <w:pPr>
        <w:spacing w:after="40" w:line="480" w:lineRule="auto"/>
        <w:jc w:val="left"/>
      </w:pPr>
      <w:r>
        <w:rPr>
          <w:b/>
          <w:i w:val="0"/>
          <w:sz w:val="24"/>
        </w:rPr>
        <w:t>Author contributions:</w:t>
      </w:r>
    </w:p>
    <w:p>
      <w:pPr>
        <w:spacing w:after="120" w:line="480" w:lineRule="auto"/>
        <w:jc w:val="both"/>
      </w:pPr>
      <w:r>
        <w:rPr>
          <w:b w:val="0"/>
          <w:i w:val="0"/>
          <w:sz w:val="24"/>
        </w:rPr>
        <w:t>SHS conceived the study, performed the analysis, and wrote the manuscript.</w:t>
      </w:r>
    </w:p>
    <w:p>
      <w:pPr>
        <w:spacing w:after="40" w:line="480" w:lineRule="auto"/>
        <w:jc w:val="left"/>
      </w:pPr>
      <w:r>
        <w:rPr>
          <w:b/>
          <w:i w:val="0"/>
          <w:sz w:val="24"/>
        </w:rPr>
        <w:t>Use of AI tools:</w:t>
      </w:r>
    </w:p>
    <w:p>
      <w:pPr>
        <w:spacing w:after="120" w:line="480" w:lineRule="auto"/>
        <w:jc w:val="both"/>
      </w:pPr>
      <w:r>
        <w:rPr>
          <w:b w:val="0"/>
          <w:i w:val="0"/>
          <w:sz w:val="24"/>
        </w:rPr>
        <w:t>Statistical code was drafted with computational assistance; the author verified all analyses, results, and interpretations and is solely responsible for the content.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