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480" w:lineRule="auto"/>
        <w:jc w:val="center"/>
      </w:pPr>
      <w:r>
        <w:rPr>
          <w:b/>
          <w:i w:val="0"/>
          <w:sz w:val="24"/>
        </w:rPr>
        <w:t>A Bayesian data-fusion atlas of fatal injury across India's districts, with the first sub-state map of surveillance completeness</w:t>
      </w:r>
    </w:p>
    <w:p>
      <w:pPr>
        <w:spacing w:after="40" w:line="480" w:lineRule="auto"/>
        <w:jc w:val="center"/>
      </w:pPr>
      <w:r>
        <w:rPr>
          <w:b w:val="0"/>
          <w:i w:val="0"/>
          <w:sz w:val="24"/>
        </w:rPr>
        <w:t>Siddalingaiah H S</w:t>
      </w:r>
    </w:p>
    <w:p>
      <w:pPr>
        <w:spacing w:after="240" w:line="240" w:lineRule="auto"/>
        <w:jc w:val="center"/>
      </w:pPr>
      <w:r>
        <w:rPr>
          <w:b w:val="0"/>
          <w:i w:val="0"/>
          <w:sz w:val="24"/>
        </w:rPr>
        <w:t>Department of Community Medicine, Shridevi Institute of Medical Sciences and Research Hospital, Tumkur, Karnataka 572106, India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Short title: District injury atlas of India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Correspondence:</w:t>
      </w:r>
    </w:p>
    <w:p>
      <w:pPr>
        <w:spacing w:after="240" w:line="240" w:lineRule="auto"/>
        <w:jc w:val="both"/>
      </w:pPr>
      <w:r>
        <w:rPr>
          <w:b w:val="0"/>
          <w:i w:val="0"/>
          <w:sz w:val="24"/>
        </w:rPr>
        <w:t>Dr Siddalingaiah H S, Department of Community Medicine, Shridevi Institute of Medical Sciences and Research Hospital, Sira Road, Tumkur, Karnataka 572106, India. Email: hssling@gmail.com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Article type: Original Research Article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Word count: abstract 238; main text ~1340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Tables: 3.  Figures: 3.  References: 30.  Supplementary: online only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Financial support: None.  Conflicts of interest: None declared.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Data and code availability: https://github.com/hssling/injury-india-public-health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