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480" w:lineRule="auto"/>
        <w:jc w:val="center"/>
      </w:pPr>
      <w:r>
        <w:rPr>
          <w:b/>
          <w:i w:val="0"/>
          <w:sz w:val="24"/>
        </w:rPr>
        <w:t>A Bayesian data-fusion atlas of fatal injury across India's districts, with the first sub-state map of surveillance completeness</w:t>
      </w:r>
    </w:p>
    <w:p>
      <w:pPr>
        <w:spacing w:after="120" w:line="480" w:lineRule="auto"/>
        <w:jc w:val="left"/>
      </w:pPr>
      <w:r>
        <w:rPr>
          <w:b/>
          <w:i w:val="0"/>
          <w:sz w:val="24"/>
        </w:rPr>
        <w:t>Abstract</w:t>
      </w:r>
    </w:p>
    <w:p>
      <w:pPr>
        <w:spacing w:after="40" w:line="480" w:lineRule="auto"/>
        <w:jc w:val="left"/>
      </w:pPr>
      <w:r>
        <w:rPr>
          <w:b/>
          <w:i w:val="0"/>
          <w:sz w:val="24"/>
        </w:rPr>
        <w:t>Background &amp; objectives:</w:t>
      </w:r>
    </w:p>
    <w:p>
      <w:pPr>
        <w:spacing w:after="120" w:line="360" w:lineRule="auto"/>
        <w:jc w:val="both"/>
      </w:pPr>
      <w:r>
        <w:rPr>
          <w:b w:val="0"/>
          <w:i w:val="0"/>
          <w:sz w:val="24"/>
        </w:rPr>
        <w:t>India's injury evidence stops at the State level, and its two principal data streams — modelled Global Burden of Disease (GBD) estimates and administrative National Crime Records Bureau (NCRB) counts — disagree by up to 8.6-fold. We aimed to estimate fatal injury burden for every Indian district and to map, for the first time, where injury deaths escape administrative capture.</w:t>
      </w:r>
    </w:p>
    <w:p>
      <w:pPr>
        <w:spacing w:after="40" w:line="480" w:lineRule="auto"/>
        <w:jc w:val="left"/>
      </w:pPr>
      <w:r>
        <w:rPr>
          <w:b/>
          <w:i w:val="0"/>
          <w:sz w:val="24"/>
        </w:rPr>
        <w:t>Methods:</w:t>
      </w:r>
    </w:p>
    <w:p>
      <w:pPr>
        <w:spacing w:after="120" w:line="360" w:lineRule="auto"/>
        <w:jc w:val="both"/>
      </w:pPr>
      <w:r>
        <w:rPr>
          <w:b w:val="0"/>
          <w:i w:val="0"/>
          <w:sz w:val="24"/>
        </w:rPr>
        <w:t>A hierarchical Bayesian model fused GBD 2023 and NCRB ADSI 2023 State signals through cause-specific completeness parameters, downscaled the fused burden to 702 districts using a benchmarked intrinsic conditional autoregressive spatial field with Census-2011 and NFHS-5 covariates, and was anchored to and validated against 41 NCRB metropolitan-city records by five-fold spatial cross-validation. Estimates are reported for all-injury, road and suicide (anchored), and as covariate projections for falls, drowning and burns.</w:t>
      </w:r>
    </w:p>
    <w:p>
      <w:pPr>
        <w:spacing w:after="40" w:line="480" w:lineRule="auto"/>
        <w:jc w:val="left"/>
      </w:pPr>
      <w:r>
        <w:rPr>
          <w:b/>
          <w:i w:val="0"/>
          <w:sz w:val="24"/>
        </w:rPr>
        <w:t>Results:</w:t>
      </w:r>
    </w:p>
    <w:p>
      <w:pPr>
        <w:spacing w:after="120" w:line="360" w:lineRule="auto"/>
        <w:jc w:val="both"/>
      </w:pPr>
      <w:r>
        <w:rPr>
          <w:b w:val="0"/>
          <w:i w:val="0"/>
          <w:sz w:val="24"/>
        </w:rPr>
        <w:t>Median district all-injury mortality was 73 per 100 000 (range up to 300). Estimated surveillance completeness (administrative/true) was lowest for falls (median 0.09) and burns (0.17), and 0.51 for all injury. Cross-validated 95% interval coverage was 0.90–0.93. High-burden, low-completeness “blind-spot” districts clustered in the tribal districts of Chhattisgarh and adjoining States.</w:t>
      </w:r>
    </w:p>
    <w:p>
      <w:pPr>
        <w:spacing w:after="40" w:line="480" w:lineRule="auto"/>
        <w:jc w:val="left"/>
      </w:pPr>
      <w:r>
        <w:rPr>
          <w:b/>
          <w:i w:val="0"/>
          <w:sz w:val="24"/>
        </w:rPr>
        <w:t>Interpretation &amp; conclusions:</w:t>
      </w:r>
    </w:p>
    <w:p>
      <w:pPr>
        <w:spacing w:after="120" w:line="360" w:lineRule="auto"/>
        <w:jc w:val="both"/>
      </w:pPr>
      <w:r>
        <w:rPr>
          <w:b w:val="0"/>
          <w:i w:val="0"/>
          <w:sz w:val="24"/>
        </w:rPr>
        <w:t>Injury burden and surveillance gaps vary sharply within States. Fusing modelled and administrative data and downscaling to districts yields actionable prevention and surveillance targets that neither source provides alone.</w:t>
      </w:r>
    </w:p>
    <w:p>
      <w:pPr>
        <w:spacing w:after="40" w:line="480" w:lineRule="auto"/>
        <w:jc w:val="left"/>
      </w:pPr>
      <w:r>
        <w:rPr>
          <w:b/>
          <w:i w:val="0"/>
          <w:sz w:val="24"/>
        </w:rPr>
        <w:t>Key words:</w:t>
      </w:r>
    </w:p>
    <w:p>
      <w:pPr>
        <w:spacing w:after="120" w:line="360" w:lineRule="auto"/>
        <w:jc w:val="both"/>
      </w:pPr>
      <w:r>
        <w:rPr>
          <w:b w:val="0"/>
          <w:i w:val="0"/>
          <w:sz w:val="24"/>
        </w:rPr>
        <w:t>Bayesian analysis — data fusion — India — injury — small-area estimation — spatial epidemiology — surveillance.</w:t>
      </w:r>
    </w:p>
    <w:p>
      <w:pPr>
        <w:spacing w:after="120" w:line="480" w:lineRule="auto"/>
        <w:jc w:val="left"/>
      </w:pPr>
      <w:r>
        <w:rPr>
          <w:b/>
          <w:i w:val="0"/>
          <w:sz w:val="24"/>
        </w:rPr>
        <w:t>Introduction</w:t>
      </w:r>
    </w:p>
    <w:p>
      <w:pPr>
        <w:spacing w:after="120" w:line="480" w:lineRule="auto"/>
        <w:jc w:val="both"/>
      </w:pPr>
      <w:r>
        <w:rPr>
          <w:b w:val="0"/>
          <w:i w:val="0"/>
          <w:sz w:val="24"/>
        </w:rPr>
        <w:t>Injuries account for roughly one in ten deaths in India and a rising share of disability as the country's epidemiological transition advances.</w:t>
      </w:r>
      <w:r>
        <w:rPr>
          <w:sz w:val="24"/>
          <w:vertAlign w:val="superscript"/>
        </w:rPr>
        <w:t>[1,2]</w:t>
      </w:r>
      <w:r>
        <w:rPr>
          <w:b w:val="0"/>
          <w:i w:val="0"/>
          <w:sz w:val="24"/>
        </w:rPr>
        <w:t xml:space="preserve"> Prevention, however, is administered locally: police, transport, health and disaster agencies act at the district level, and recent national initiatives explicitly target high-risk districts. The evidence base does not match this administrative reality. Subnational injury estimates from the Global Burden of Disease (GBD) study stop at the State level,</w:t>
      </w:r>
      <w:r>
        <w:rPr>
          <w:sz w:val="24"/>
          <w:vertAlign w:val="superscript"/>
        </w:rPr>
        <w:t>[2,3]</w:t>
      </w:r>
      <w:r>
        <w:rPr>
          <w:b w:val="0"/>
          <w:i w:val="0"/>
          <w:sz w:val="24"/>
        </w:rPr>
        <w:t xml:space="preserve"> and the country's routine administrative counts — the National Crime Records Bureau's Accidental Deaths and Suicides in India (ADSI) series — are compiled and released by State and, for a handful of large cities, by metropolis.</w:t>
      </w:r>
      <w:r>
        <w:rPr>
          <w:sz w:val="24"/>
          <w:vertAlign w:val="superscript"/>
        </w:rPr>
        <w:t>[4]</w:t>
      </w:r>
      <w:r>
        <w:rPr>
          <w:b w:val="0"/>
          <w:i w:val="0"/>
          <w:sz w:val="24"/>
        </w:rPr>
        <w:t xml:space="preserve"> No district-resolution estimate of fatal injury exists for India.</w:t>
      </w:r>
    </w:p>
    <w:p>
      <w:pPr>
        <w:spacing w:after="120" w:line="480" w:lineRule="auto"/>
        <w:jc w:val="both"/>
      </w:pPr>
      <w:r>
        <w:rPr>
          <w:b w:val="0"/>
          <w:i w:val="0"/>
          <w:sz w:val="24"/>
        </w:rPr>
        <w:t>The two data streams also disagree. Modelled GBD death counts exceed police-reported ADSI counts nationally by 8.6-fold for falls and by more than five-fold for burns, while agreeing closely for drowning (Table 1). Such discordance is usually discussed as a nuisance to be reconciled;</w:t>
      </w:r>
      <w:r>
        <w:rPr>
          <w:sz w:val="24"/>
          <w:vertAlign w:val="superscript"/>
        </w:rPr>
        <w:t>[6,7]</w:t>
      </w:r>
      <w:r>
        <w:rPr>
          <w:b w:val="0"/>
          <w:i w:val="0"/>
          <w:sz w:val="24"/>
        </w:rPr>
        <w:t xml:space="preserve"> we instead treat it as signal. The gap between what modelling implies and what administration records is itself a measurable quantity — a surveillance-completeness surface — that tells prevention planners where deaths are occurring but going uncounted.</w:t>
      </w:r>
    </w:p>
    <w:p>
      <w:pPr>
        <w:spacing w:after="120" w:line="480" w:lineRule="auto"/>
        <w:jc w:val="both"/>
      </w:pPr>
      <w:r>
        <w:rPr>
          <w:b w:val="0"/>
          <w:i w:val="0"/>
          <w:sz w:val="24"/>
        </w:rPr>
        <w:t>Bayesian small-area estimation is well established for downscaling survey outcomes to Indian districts, but has been applied to fertility and all-cause or child mortality, not to injury.</w:t>
      </w:r>
      <w:r>
        <w:rPr>
          <w:sz w:val="24"/>
          <w:vertAlign w:val="superscript"/>
        </w:rPr>
        <w:t>[12,13]</w:t>
      </w:r>
      <w:r>
        <w:rPr>
          <w:b w:val="0"/>
          <w:i w:val="0"/>
          <w:sz w:val="24"/>
        </w:rPr>
        <w:t xml:space="preserve"> Downscaling injury poses a specific problem: unlike survey outcomes, no district-level injury signal exists to smooth. We resolve this by anchoring the model to the metropolitan-city records that ADSI does publish, which correspond to districts and provide a partial, directly observed calibration set. This study therefore contributes (i) the first district atlas of fatal injury in India, (ii) a joint data-fusion-and-downscaling method that reconciles modelled and administrative sources while estimating below the State level, and (iii) the first sub-state map of injury surveillance completeness.</w:t>
      </w:r>
    </w:p>
    <w:p>
      <w:pPr>
        <w:spacing w:after="120" w:line="480" w:lineRule="auto"/>
        <w:jc w:val="left"/>
      </w:pPr>
      <w:r>
        <w:rPr>
          <w:b/>
          <w:i w:val="0"/>
          <w:sz w:val="24"/>
        </w:rPr>
        <w:t>Material &amp; Methods</w:t>
      </w:r>
    </w:p>
    <w:p>
      <w:pPr>
        <w:spacing w:after="120" w:line="480" w:lineRule="auto"/>
        <w:jc w:val="both"/>
      </w:pPr>
      <w:r>
        <w:rPr>
          <w:b w:val="0"/>
          <w:i w:val="0"/>
          <w:sz w:val="24"/>
        </w:rPr>
        <w:t>Data. We used GBD 2023 State-level injury deaths with 95% uncertainty intervals for all-injury and five causes (road, falls, drowning, fire/burns and self-harm);</w:t>
      </w:r>
      <w:r>
        <w:rPr>
          <w:sz w:val="24"/>
          <w:vertAlign w:val="superscript"/>
        </w:rPr>
        <w:t>[1]</w:t>
      </w:r>
      <w:r>
        <w:rPr>
          <w:b w:val="0"/>
          <w:i w:val="0"/>
          <w:sz w:val="24"/>
        </w:rPr>
        <w:t xml:space="preserve"> NCRB ADSI 2023 State accidental deaths and suicides;</w:t>
      </w:r>
      <w:r>
        <w:rPr>
          <w:sz w:val="24"/>
          <w:vertAlign w:val="superscript"/>
        </w:rPr>
        <w:t>[4]</w:t>
      </w:r>
      <w:r>
        <w:rPr>
          <w:b w:val="0"/>
          <w:i w:val="0"/>
          <w:sz w:val="24"/>
        </w:rPr>
        <w:t xml:space="preserve"> and the ADSI 2023 metropolitan-city tables, from which we extracted, for 53 mega-cities, total accidental deaths and population (Table 1.2), road-accident deaths (Table 1A.2) and suicides (Table 2.3). District boundaries for 735 units came from geoBoundaries ADM2;</w:t>
      </w:r>
      <w:r>
        <w:rPr>
          <w:sz w:val="24"/>
          <w:vertAlign w:val="superscript"/>
        </w:rPr>
        <w:t>[17]</w:t>
      </w:r>
      <w:r>
        <w:rPr>
          <w:b w:val="0"/>
          <w:i w:val="0"/>
          <w:sz w:val="24"/>
        </w:rPr>
        <w:t xml:space="preserve"> district population and urbanicity from the Census of India 2011;</w:t>
      </w:r>
      <w:r>
        <w:rPr>
          <w:sz w:val="24"/>
          <w:vertAlign w:val="superscript"/>
        </w:rPr>
        <w:t>[16]</w:t>
      </w:r>
      <w:r>
        <w:rPr>
          <w:b w:val="0"/>
          <w:i w:val="0"/>
          <w:sz w:val="24"/>
        </w:rPr>
        <w:t xml:space="preserve"> and district adult alcohol and tobacco prevalence from the NFHS-5 district factsheets.</w:t>
      </w:r>
      <w:r>
        <w:rPr>
          <w:sz w:val="24"/>
          <w:vertAlign w:val="superscript"/>
        </w:rPr>
        <w:t>[15]</w:t>
      </w:r>
      <w:r>
        <w:rPr>
          <w:b w:val="0"/>
          <w:i w:val="0"/>
          <w:sz w:val="24"/>
        </w:rPr>
        <w:t xml:space="preserve"> Sources were harmonised to a common set of States and districts; districts that could not be matched across frames were logged rather than dropped silently.</w:t>
      </w:r>
    </w:p>
    <w:p>
      <w:pPr>
        <w:spacing w:after="120" w:line="480" w:lineRule="auto"/>
        <w:jc w:val="both"/>
      </w:pPr>
      <w:r>
        <w:rPr>
          <w:b w:val="0"/>
          <w:i w:val="0"/>
          <w:sz w:val="24"/>
        </w:rPr>
        <w:t>Model. For each cause we fitted a hierarchical Bayesian model with four linked components. First, a fusion layer treated the unknown true State death total as a latent quantity informed by the GBD estimate (log-normal, using the reported uncertainty interval) and by the NCRB count (Poisson), with the administrative count scaled by a completeness parameter. Second, a completeness sub-model let completeness vary by district as a logistic function of urbanicity and a smooth spatial term, so that the administrative-capture fraction could differ within States. Third, a downscaling layer modelled the true district death rate on the log scale as a function of district covariates, an intrinsic conditional autoregressive (ICAR) spatial field over the district adjacency graph,</w:t>
      </w:r>
      <w:r>
        <w:rPr>
          <w:sz w:val="24"/>
          <w:vertAlign w:val="superscript"/>
        </w:rPr>
        <w:t>[8,9]</w:t>
      </w:r>
      <w:r>
        <w:rPr>
          <w:b w:val="0"/>
          <w:i w:val="0"/>
          <w:sz w:val="24"/>
        </w:rPr>
        <w:t xml:space="preserve"> and unstructured heterogeneity; district rates were benchmarked so that their population-weighted mean within each State reproduced the fused State rate.</w:t>
      </w:r>
      <w:r>
        <w:rPr>
          <w:sz w:val="24"/>
          <w:vertAlign w:val="superscript"/>
        </w:rPr>
        <w:t>[24]</w:t>
      </w:r>
      <w:r>
        <w:rPr>
          <w:b w:val="0"/>
          <w:i w:val="0"/>
          <w:sz w:val="24"/>
        </w:rPr>
        <w:t xml:space="preserve"> Fourth, an anchor likelihood related the observed metropolitan-city deaths to the modelled district rate and completeness at the corresponding district. Multi-district metropolitan agglomerations, whose city population greatly exceeds any single constituent district, were excluded from anchoring, leaving {N['n_anchor']} city anchors.</w:t>
      </w:r>
    </w:p>
    <w:p>
      <w:pPr>
        <w:spacing w:after="120" w:line="480" w:lineRule="auto"/>
        <w:jc w:val="both"/>
      </w:pPr>
      <w:r>
        <w:rPr>
          <w:b w:val="0"/>
          <w:i w:val="0"/>
          <w:sz w:val="24"/>
        </w:rPr>
        <w:t>Priors were weakly informative; the completeness intercept was centred on the national GBD-to-NCRB ratio for each cause. Models were fitted by Hamiltonian Monte Carlo (No-U-Turn sampler) using PyMC with a JAX backend,</w:t>
      </w:r>
      <w:r>
        <w:rPr>
          <w:sz w:val="24"/>
          <w:vertAlign w:val="superscript"/>
        </w:rPr>
        <w:t>[21,30]</w:t>
      </w:r>
      <w:r>
        <w:rPr>
          <w:b w:val="0"/>
          <w:i w:val="0"/>
          <w:sz w:val="24"/>
        </w:rPr>
        <w:t xml:space="preserve"> running two chains of 1000 post-warmup draws each; convergence was assessed by the rank-normalised R-hat and effective sample size.</w:t>
      </w:r>
      <w:r>
        <w:rPr>
          <w:sz w:val="24"/>
          <w:vertAlign w:val="superscript"/>
        </w:rPr>
        <w:t>[22]</w:t>
      </w:r>
      <w:r>
        <w:rPr>
          <w:b w:val="0"/>
          <w:i w:val="0"/>
          <w:sz w:val="24"/>
        </w:rPr>
        <w:t xml:space="preserve"> All estimates are posterior means with 95% credible intervals (CrI).</w:t>
      </w:r>
    </w:p>
    <w:p>
      <w:pPr>
        <w:spacing w:after="120" w:line="480" w:lineRule="auto"/>
        <w:jc w:val="both"/>
      </w:pPr>
      <w:r>
        <w:rPr>
          <w:b w:val="0"/>
          <w:i w:val="0"/>
          <w:sz w:val="24"/>
        </w:rPr>
        <w:t>Validation and sensitivity. For the three anchored causes we performed five-fold cross-validation over the {N['n_anchor']} city anchors, refitting with each fold's cities removed from the anchor likelihood and predicting their administrative deaths; we report interval coverage, log-scale error and rank correlation (Table 3). We tested robustness to dropping the spatial term, to holding completeness constant within States, and to the completeness-prior width. Because ADSI tabulates only total accidental deaths, road deaths and suicides at city level, falls, drowning and burns could not be anchored and are reported as covariate projections. Analyses used only aggregate public data; ethics approval was not required.</w:t>
      </w:r>
    </w:p>
    <w:p>
      <w:pPr>
        <w:spacing w:after="120" w:line="480" w:lineRule="auto"/>
        <w:jc w:val="left"/>
      </w:pPr>
      <w:r>
        <w:rPr>
          <w:b/>
          <w:i w:val="0"/>
          <w:sz w:val="24"/>
        </w:rPr>
        <w:t>Results</w:t>
      </w:r>
    </w:p>
    <w:p>
      <w:pPr>
        <w:spacing w:after="120" w:line="480" w:lineRule="auto"/>
        <w:jc w:val="both"/>
      </w:pPr>
      <w:r>
        <w:rPr>
          <w:b w:val="0"/>
          <w:i w:val="0"/>
          <w:sz w:val="24"/>
        </w:rPr>
        <w:t>Estimates were produced for 702 districts across 28 States and union territories. At the national level the fusion reproduced the known source discordance: modelled and administrative counts differed 8.6-fold for falls and 5.4-fold for burns, but only 1.3-fold for drowning (Table 1). Implied surveillance completeness was correspondingly lowest for falls (district median 0.09) and burns (0.17), intermediate for road (0.28) and suicide, and highest for drowning (0.62).</w:t>
      </w:r>
    </w:p>
    <w:p>
      <w:pPr>
        <w:spacing w:after="120" w:line="480" w:lineRule="auto"/>
        <w:jc w:val="both"/>
      </w:pPr>
      <w:r>
        <w:rPr>
          <w:b w:val="0"/>
          <w:i w:val="0"/>
          <w:sz w:val="24"/>
        </w:rPr>
        <w:t>District all-injury mortality had a median of 73 per 100 000 and reached 300 in the highest-burden districts (Figure 1). Road-injury mortality (median 43 per 100 000) and suicide (median 29) showed the widest geographical spread. The completeness surface (Figure 2) revealed strong within-State gradients: administrative capture was consistently higher in urban and metropolitan districts and lower across rural and tribal interiors, a pattern that State-level ratios entirely obscure.</w:t>
      </w:r>
    </w:p>
    <w:p>
      <w:pPr>
        <w:spacing w:after="120" w:line="480" w:lineRule="auto"/>
        <w:jc w:val="both"/>
      </w:pPr>
      <w:r>
        <w:rPr>
          <w:b w:val="0"/>
          <w:i w:val="0"/>
          <w:sz w:val="24"/>
        </w:rPr>
        <w:t>Combining high estimated burden, wide uncertainty and low completeness identified a set of surveillance “blind-spot” districts (Table 2). These clustered markedly in the tribal districts of Chhattisgarh — Sukma, Narayanpur, Bijapur, Dantewada and neighbours — with further clusters in interior Odisha and hill districts of Himachal Pradesh, where injury deaths are both estimated to be high and least likely to be administratively recorded.</w:t>
      </w:r>
    </w:p>
    <w:p>
      <w:pPr>
        <w:spacing w:after="120" w:line="480" w:lineRule="auto"/>
        <w:jc w:val="both"/>
      </w:pPr>
      <w:r>
        <w:rPr>
          <w:b w:val="0"/>
          <w:i w:val="0"/>
          <w:sz w:val="24"/>
        </w:rPr>
        <w:t>Five-fold cross-validation showed well-calibrated uncertainty: 95% credible intervals covered the held-out city observations 0.90–0.93 of the time across anchored causes, with modest point discrimination (Spearman 0.74 for suicide; Table 3). Sensitivity analyses confirmed that the spatial term improved out-of-sample prediction and that completeness estimates were stable to prior width.</w:t>
      </w:r>
    </w:p>
    <w:p>
      <w:pPr>
        <w:spacing w:after="120" w:line="480" w:lineRule="auto"/>
        <w:jc w:val="left"/>
      </w:pPr>
      <w:r>
        <w:rPr>
          <w:b/>
          <w:i w:val="0"/>
          <w:sz w:val="24"/>
        </w:rPr>
        <w:t>Discussion</w:t>
      </w:r>
    </w:p>
    <w:p>
      <w:pPr>
        <w:spacing w:after="120" w:line="480" w:lineRule="auto"/>
        <w:jc w:val="both"/>
      </w:pPr>
      <w:r>
        <w:rPr>
          <w:b w:val="0"/>
          <w:i w:val="0"/>
          <w:sz w:val="24"/>
        </w:rPr>
        <w:t>This study provides the first district-level atlas of fatal injury in India and the first sub-state map of injury surveillance completeness. Two findings stand out. First, injury burden is not a State-level property: rates and, especially, the completeness of administrative recording vary sharply within States, so district targeting cannot be inferred from State aggregates. Second, the causes with the largest modelling-versus-administration gap — falls and burns — are precisely those where fewer than one in five deaths appear in police records, consistent with deaths that occur at home or are certified without police involvement.</w:t>
      </w:r>
      <w:r>
        <w:rPr>
          <w:sz w:val="24"/>
          <w:vertAlign w:val="superscript"/>
        </w:rPr>
        <w:t>[4,20]</w:t>
      </w:r>
    </w:p>
    <w:p>
      <w:pPr>
        <w:spacing w:after="120" w:line="480" w:lineRule="auto"/>
        <w:jc w:val="both"/>
      </w:pPr>
      <w:r>
        <w:rPr>
          <w:b w:val="0"/>
          <w:i w:val="0"/>
          <w:sz w:val="24"/>
        </w:rPr>
        <w:t>The results reframe the GBD–NCRB discordance as actionable intelligence. Rather than asking which source is correct, the fusion asks where they diverge most and localises that divergence. For prevention agencies this points to concrete districts; for the civil registration and medical certification systems it maps where investment in cause-of-death recording would yield the most.</w:t>
      </w:r>
      <w:r>
        <w:rPr>
          <w:sz w:val="24"/>
          <w:vertAlign w:val="superscript"/>
        </w:rPr>
        <w:t>[7,20]</w:t>
      </w:r>
      <w:r>
        <w:rPr>
          <w:b w:val="0"/>
          <w:i w:val="0"/>
          <w:sz w:val="24"/>
        </w:rPr>
        <w:t xml:space="preserve"> The method is general: any setting with a modelled estimate, a discordant administrative count and district covariates can be handled the same way.</w:t>
      </w:r>
    </w:p>
    <w:p>
      <w:pPr>
        <w:spacing w:after="120" w:line="480" w:lineRule="auto"/>
        <w:jc w:val="both"/>
      </w:pPr>
      <w:r>
        <w:rPr>
          <w:b w:val="0"/>
          <w:i w:val="0"/>
          <w:sz w:val="24"/>
        </w:rPr>
        <w:t>The work has important limitations. Identification of covariate effects relies on {N['n_anchor']} urban anchor districts, and the completeness gradient is extrapolated to rural districts that are never directly observed; this is the principal caveat and the reason falls, drowning and burns are presented only as covariate projections. Point discrimination across cities was modest even though interval coverage was good, so individual district rankings should be read with their credible intervals, not as precise ranks. Covariate associations are ecological and not causal.</w:t>
      </w:r>
      <w:r>
        <w:rPr>
          <w:sz w:val="24"/>
          <w:vertAlign w:val="superscript"/>
        </w:rPr>
        <w:t>[14]</w:t>
      </w:r>
      <w:r>
        <w:rPr>
          <w:b w:val="0"/>
          <w:i w:val="0"/>
          <w:sz w:val="24"/>
        </w:rPr>
        <w:t xml:space="preserve"> Exposure used the 2011 census population base, and district boundaries were harmonised across three frames with residual name-matching uncertainty. Finally, ADSI city tables limit anchoring to three causes; district-level cause-specific injury data, were they released, would allow direct anchoring of falls and burns.</w:t>
      </w:r>
    </w:p>
    <w:p>
      <w:pPr>
        <w:spacing w:after="120" w:line="480" w:lineRule="auto"/>
        <w:jc w:val="both"/>
      </w:pPr>
      <w:r>
        <w:rPr>
          <w:b w:val="0"/>
          <w:i w:val="0"/>
          <w:sz w:val="24"/>
        </w:rPr>
        <w:t>Within these limits, the atlas offers a reproducible, uncertainty-quantified tool for district injury prevention and for prioritising surveillance strengthening in the places that need it most.</w:t>
      </w:r>
    </w:p>
    <w:p>
      <w:pPr>
        <w:spacing w:after="120" w:line="480" w:lineRule="auto"/>
        <w:jc w:val="left"/>
      </w:pPr>
      <w:r>
        <w:rPr>
          <w:b/>
          <w:i w:val="0"/>
          <w:sz w:val="24"/>
        </w:rPr>
        <w:t>References</w:t>
      </w:r>
    </w:p>
    <w:p>
      <w:pPr>
        <w:spacing w:after="80" w:line="240" w:lineRule="auto"/>
        <w:jc w:val="left"/>
      </w:pPr>
      <w:r>
        <w:rPr>
          <w:b w:val="0"/>
          <w:i w:val="0"/>
          <w:sz w:val="22"/>
        </w:rPr>
        <w:t>1. GBD 2021 Diseases and Injuries Collaborators.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Lancet 2024;403(10440):2133–61. doi:10.1016/S0140-6736(24)00757-8.</w:t>
      </w:r>
    </w:p>
    <w:p>
      <w:pPr>
        <w:spacing w:after="80" w:line="240" w:lineRule="auto"/>
        <w:jc w:val="left"/>
      </w:pPr>
      <w:r>
        <w:rPr>
          <w:b w:val="0"/>
          <w:i w:val="0"/>
          <w:sz w:val="22"/>
        </w:rPr>
        <w:t>2. India State-Level Disease Burden Initiative Collaborators. Nations within a nation: variations in epidemiological transition across the states of India, 1990–2016 in the Global Burden of Disease Study. Lancet 2017;390(10111):2437–60. doi:10.1016/S0140-6736(17)32804-0.</w:t>
      </w:r>
    </w:p>
    <w:p>
      <w:pPr>
        <w:spacing w:after="80" w:line="240" w:lineRule="auto"/>
        <w:jc w:val="left"/>
      </w:pPr>
      <w:r>
        <w:rPr>
          <w:b w:val="0"/>
          <w:i w:val="0"/>
          <w:sz w:val="22"/>
        </w:rPr>
        <w:t>3. Dandona R, Kumar GA, Gururaj G, et al. Mortality due to road injuries in the states of India: the Global Burden of Disease Study 1990–2017. Lancet Public Health 2020;5(2):e86–98. doi:10.1016/S2468-2667(19)30246-4.</w:t>
      </w:r>
    </w:p>
    <w:p>
      <w:pPr>
        <w:spacing w:after="80" w:line="240" w:lineRule="auto"/>
        <w:jc w:val="left"/>
      </w:pPr>
      <w:r>
        <w:rPr>
          <w:b w:val="0"/>
          <w:i w:val="0"/>
          <w:sz w:val="22"/>
        </w:rPr>
        <w:t>4. National Crime Records Bureau. Accidental Deaths &amp; Suicides in India 2023. New Delhi: Ministry of Home Affairs, Government of India; 2024. Available from: https://www.ncrb.gov.in (accessed 2 July 2026).</w:t>
      </w:r>
    </w:p>
    <w:p>
      <w:pPr>
        <w:spacing w:after="80" w:line="240" w:lineRule="auto"/>
        <w:jc w:val="left"/>
      </w:pPr>
      <w:r>
        <w:rPr>
          <w:b w:val="0"/>
          <w:i w:val="0"/>
          <w:sz w:val="22"/>
        </w:rPr>
        <w:t>5. Ministry of Road Transport and Highways. Road Accidents in India 2023. New Delhi: Government of India; 2024.</w:t>
      </w:r>
    </w:p>
    <w:p>
      <w:pPr>
        <w:spacing w:after="80" w:line="240" w:lineRule="auto"/>
        <w:jc w:val="left"/>
      </w:pPr>
      <w:r>
        <w:rPr>
          <w:b w:val="0"/>
          <w:i w:val="0"/>
          <w:sz w:val="22"/>
        </w:rPr>
        <w:t>6. Jha P, Gajalakshmi V, Gupta PC, et al. Prospective study of one million deaths in India: rationale, design, and validation results. PLoS Med 2006;3(2):e18. doi:10.1371/journal.pmed.0030018.</w:t>
      </w:r>
    </w:p>
    <w:p>
      <w:pPr>
        <w:spacing w:after="80" w:line="240" w:lineRule="auto"/>
        <w:jc w:val="left"/>
      </w:pPr>
      <w:r>
        <w:rPr>
          <w:b w:val="0"/>
          <w:i w:val="0"/>
          <w:sz w:val="22"/>
        </w:rPr>
        <w:t>7. Rao C, Gupta M. The civil registration system is a potentially viable data source for reliable subnational mortality measurement in India. BMJ Glob Health 2020;5(8):e002586. doi:10.1136/bmjgh-2020-002586.</w:t>
      </w:r>
    </w:p>
    <w:p>
      <w:pPr>
        <w:spacing w:after="80" w:line="240" w:lineRule="auto"/>
        <w:jc w:val="left"/>
      </w:pPr>
      <w:r>
        <w:rPr>
          <w:b w:val="0"/>
          <w:i w:val="0"/>
          <w:sz w:val="22"/>
        </w:rPr>
        <w:t>8. Besag J, York J, Mollié A. Bayesian image restoration, with two applications in spatial statistics. Ann Inst Stat Math 1991;43(1):1–20. doi:10.1007/BF00116466.</w:t>
      </w:r>
    </w:p>
    <w:p>
      <w:pPr>
        <w:spacing w:after="80" w:line="240" w:lineRule="auto"/>
        <w:jc w:val="left"/>
      </w:pPr>
      <w:r>
        <w:rPr>
          <w:b w:val="0"/>
          <w:i w:val="0"/>
          <w:sz w:val="22"/>
        </w:rPr>
        <w:t>9. Riebler A, Sørbye SH, Simpson D, Rue H. An intuitive Bayesian spatial model for disease mapping that accounts for scaling. Stat Methods Med Res 2016;25(4):1145–65. doi:10.1177/0962280216660421.</w:t>
      </w:r>
    </w:p>
    <w:p>
      <w:pPr>
        <w:spacing w:after="80" w:line="240" w:lineRule="auto"/>
        <w:jc w:val="left"/>
      </w:pPr>
      <w:r>
        <w:rPr>
          <w:b w:val="0"/>
          <w:i w:val="0"/>
          <w:sz w:val="22"/>
        </w:rPr>
        <w:t>10. Rao JNK, Molina I. Small Area Estimation. 2nd ed. Hoboken (NJ): Wiley; 2015. doi:10.1002/9781118735855.</w:t>
      </w:r>
    </w:p>
    <w:p>
      <w:pPr>
        <w:spacing w:after="80" w:line="240" w:lineRule="auto"/>
        <w:jc w:val="left"/>
      </w:pPr>
      <w:r>
        <w:rPr>
          <w:b w:val="0"/>
          <w:i w:val="0"/>
          <w:sz w:val="22"/>
        </w:rPr>
        <w:t>11. Pfeffermann D. New important developments in small area estimation. Stat Sci 2013;28(1):40–68. doi:10.1214/12-STS395.</w:t>
      </w:r>
    </w:p>
    <w:p>
      <w:pPr>
        <w:spacing w:after="80" w:line="240" w:lineRule="auto"/>
        <w:jc w:val="left"/>
      </w:pPr>
      <w:r>
        <w:rPr>
          <w:b w:val="0"/>
          <w:i w:val="0"/>
          <w:sz w:val="22"/>
        </w:rPr>
        <w:t>12. Mercer LH, Wakefield J, Pantazis A, et al. Space–time smoothing of complex survey data: small area estimation for child mortality. Ann Appl Stat 2015;9(4):1889–905. doi:10.1214/15-AOAS872.</w:t>
      </w:r>
    </w:p>
    <w:p>
      <w:pPr>
        <w:spacing w:after="80" w:line="240" w:lineRule="auto"/>
        <w:jc w:val="left"/>
      </w:pPr>
      <w:r>
        <w:rPr>
          <w:b w:val="0"/>
          <w:i w:val="0"/>
          <w:sz w:val="22"/>
        </w:rPr>
        <w:t>13. Dwivedi LK, Sharma A, Shukla A, et al. A Bayesian small area estimation approach for district-level fertility and mortality estimates in India, 2015–16 to 2019–21. Health Sci Rep 2026;9(1):e71789. doi:10.1002/hsr2.71789.</w:t>
      </w:r>
    </w:p>
    <w:p>
      <w:pPr>
        <w:spacing w:after="80" w:line="240" w:lineRule="auto"/>
        <w:jc w:val="left"/>
      </w:pPr>
      <w:r>
        <w:rPr>
          <w:b w:val="0"/>
          <w:i w:val="0"/>
          <w:sz w:val="22"/>
        </w:rPr>
        <w:t>14. Wakefield J. Ecologic studies revisited. Annu Rev Public Health 2008;29:75–90. doi:10.1146/annurev.publhealth.29.020907.090821.</w:t>
      </w:r>
    </w:p>
    <w:p>
      <w:pPr>
        <w:spacing w:after="80" w:line="240" w:lineRule="auto"/>
        <w:jc w:val="left"/>
      </w:pPr>
      <w:r>
        <w:rPr>
          <w:b w:val="0"/>
          <w:i w:val="0"/>
          <w:sz w:val="22"/>
        </w:rPr>
        <w:t>15. International Institute for Population Sciences (IIPS), ICF. National Family Health Survey (NFHS-5), 2019–21: India. Mumbai: IIPS; 2021.</w:t>
      </w:r>
    </w:p>
    <w:p>
      <w:pPr>
        <w:spacing w:after="80" w:line="240" w:lineRule="auto"/>
        <w:jc w:val="left"/>
      </w:pPr>
      <w:r>
        <w:rPr>
          <w:b w:val="0"/>
          <w:i w:val="0"/>
          <w:sz w:val="22"/>
        </w:rPr>
        <w:t>16. Office of the Registrar General &amp; Census Commissioner. Census of India 2011: Primary Census Abstract. New Delhi: Government of India; 2013.</w:t>
      </w:r>
    </w:p>
    <w:p>
      <w:pPr>
        <w:spacing w:after="80" w:line="240" w:lineRule="auto"/>
        <w:jc w:val="left"/>
      </w:pPr>
      <w:r>
        <w:rPr>
          <w:b w:val="0"/>
          <w:i w:val="0"/>
          <w:sz w:val="22"/>
        </w:rPr>
        <w:t>17. Runfola D, Anderson A, Baier H, et al. geoBoundaries: a global database of political administrative boundaries. PLoS ONE 2020;15(4):e0231866. doi:10.1371/journal.pone.0231866.</w:t>
      </w:r>
    </w:p>
    <w:p>
      <w:pPr>
        <w:spacing w:after="80" w:line="240" w:lineRule="auto"/>
        <w:jc w:val="left"/>
      </w:pPr>
      <w:r>
        <w:rPr>
          <w:b w:val="0"/>
          <w:i w:val="0"/>
          <w:sz w:val="22"/>
        </w:rPr>
        <w:t>18. Menon GR, Singh L, Sharma P, et al. National burden estimates of healthy life lost in India, 2017: an analysis using direct mortality data and indirect disability data. Lancet Glob Health 2019;7(12):e1675–84. doi:10.1016/S2214-109X(19)30451-6.</w:t>
      </w:r>
    </w:p>
    <w:p>
      <w:pPr>
        <w:spacing w:after="80" w:line="240" w:lineRule="auto"/>
        <w:jc w:val="left"/>
      </w:pPr>
      <w:r>
        <w:rPr>
          <w:b w:val="0"/>
          <w:i w:val="0"/>
          <w:sz w:val="22"/>
        </w:rPr>
        <w:t>19. Dandona R, Kumar GA, Dhaliwal RS, et al. Gender differentials and state variations in suicide deaths in India: the Global Burden of Disease Study 1990–2016. Lancet Public Health 2018;3(10):e478–89. doi:10.1016/S2468-2667(18)30138-5.</w:t>
      </w:r>
    </w:p>
    <w:p>
      <w:pPr>
        <w:spacing w:after="80" w:line="240" w:lineRule="auto"/>
        <w:jc w:val="left"/>
      </w:pPr>
      <w:r>
        <w:rPr>
          <w:b w:val="0"/>
          <w:i w:val="0"/>
          <w:sz w:val="22"/>
        </w:rPr>
        <w:t>20. Kumar GA, Dandona R, Dandona L. Completeness and quality of vital registration of deaths in India. Int J Epidemiol 2019;48(4):1330–9.</w:t>
      </w:r>
    </w:p>
    <w:p>
      <w:pPr>
        <w:spacing w:after="80" w:line="240" w:lineRule="auto"/>
        <w:jc w:val="left"/>
      </w:pPr>
      <w:r>
        <w:rPr>
          <w:b w:val="0"/>
          <w:i w:val="0"/>
          <w:sz w:val="22"/>
        </w:rPr>
        <w:t>21. Hoffman MD, Gelman A. The No-U-Turn Sampler: adaptively setting path lengths in Hamiltonian Monte Carlo. J Mach Learn Res 2014;15:1593–623.</w:t>
      </w:r>
    </w:p>
    <w:p>
      <w:pPr>
        <w:spacing w:after="80" w:line="240" w:lineRule="auto"/>
        <w:jc w:val="left"/>
      </w:pPr>
      <w:r>
        <w:rPr>
          <w:b w:val="0"/>
          <w:i w:val="0"/>
          <w:sz w:val="22"/>
        </w:rPr>
        <w:t>22. Vehtari A, Gelman A, Simpson D, Carpenter B, Bürkner PC. Rank-normalization, folding, and localization: an improved R-hat for assessing convergence of MCMC. Bayesian Anal 2021;16(2):667–718. doi:10.1214/20-BA1221.</w:t>
      </w:r>
    </w:p>
    <w:p>
      <w:pPr>
        <w:spacing w:after="80" w:line="240" w:lineRule="auto"/>
        <w:jc w:val="left"/>
      </w:pPr>
      <w:r>
        <w:rPr>
          <w:b w:val="0"/>
          <w:i w:val="0"/>
          <w:sz w:val="22"/>
        </w:rPr>
        <w:t>23. Gelman A, Carlin JB, Stern HS, et al. Bayesian Data Analysis. 3rd ed. Boca Raton (FL): CRC Press; 2013.</w:t>
      </w:r>
    </w:p>
    <w:p>
      <w:pPr>
        <w:spacing w:after="80" w:line="240" w:lineRule="auto"/>
        <w:jc w:val="left"/>
      </w:pPr>
      <w:r>
        <w:rPr>
          <w:b w:val="0"/>
          <w:i w:val="0"/>
          <w:sz w:val="22"/>
        </w:rPr>
        <w:t>24. Datta GS, Ghosh M, Steorts R, Maples J. Bayesian benchmarking with applications to small area estimation. Test 2011;20(3):574–88. doi:10.1007/s11749-011-0233-7.</w:t>
      </w:r>
    </w:p>
    <w:p>
      <w:pPr>
        <w:spacing w:after="80" w:line="240" w:lineRule="auto"/>
        <w:jc w:val="left"/>
      </w:pPr>
      <w:r>
        <w:rPr>
          <w:b w:val="0"/>
          <w:i w:val="0"/>
          <w:sz w:val="22"/>
        </w:rPr>
        <w:t>25. Gururaj G. Injury prevention and care: an important public health agenda for health, survival and safety of children. Indian J Pediatr 2013;80(Suppl 1):S100–8. doi:10.1007/s12098-012-0783-z.</w:t>
      </w:r>
    </w:p>
    <w:p>
      <w:pPr>
        <w:spacing w:after="80" w:line="240" w:lineRule="auto"/>
        <w:jc w:val="left"/>
      </w:pPr>
      <w:r>
        <w:rPr>
          <w:b w:val="0"/>
          <w:i w:val="0"/>
          <w:sz w:val="22"/>
        </w:rPr>
        <w:t>26. World Health Organization. Global status report on road safety 2023. Geneva: WHO; 2023.</w:t>
      </w:r>
    </w:p>
    <w:p>
      <w:pPr>
        <w:spacing w:after="80" w:line="240" w:lineRule="auto"/>
        <w:jc w:val="left"/>
      </w:pPr>
      <w:r>
        <w:rPr>
          <w:b w:val="0"/>
          <w:i w:val="0"/>
          <w:sz w:val="22"/>
        </w:rPr>
        <w:t>27. Patel V, Ramasundarahettige C, Vijayakumar L, et al. Suicide mortality in India: a nationally representative survey. Lancet 2012;379(9834):2343–51. doi:10.1016/S0140-6736(12)60606-0.</w:t>
      </w:r>
    </w:p>
    <w:p>
      <w:pPr>
        <w:spacing w:after="80" w:line="240" w:lineRule="auto"/>
        <w:jc w:val="left"/>
      </w:pPr>
      <w:r>
        <w:rPr>
          <w:b w:val="0"/>
          <w:i w:val="0"/>
          <w:sz w:val="22"/>
        </w:rPr>
        <w:t>28. Joseph A, Kumar D, Bagavandas M. A review of epidemiology of fall among elderly in India. Indian J Community Med 2019;44(2):166–8.</w:t>
      </w:r>
    </w:p>
    <w:p>
      <w:pPr>
        <w:spacing w:after="80" w:line="240" w:lineRule="auto"/>
        <w:jc w:val="left"/>
      </w:pPr>
      <w:r>
        <w:rPr>
          <w:b w:val="0"/>
          <w:i w:val="0"/>
          <w:sz w:val="22"/>
        </w:rPr>
        <w:t>29. Carpenter B, Gelman A, Hoffman MD, et al. Stan: a probabilistic programming language. J Stat Softw 2017;76(1):1–32. doi:10.18637/jss.v076.i01.</w:t>
      </w:r>
    </w:p>
    <w:p>
      <w:pPr>
        <w:spacing w:after="80" w:line="240" w:lineRule="auto"/>
        <w:jc w:val="left"/>
      </w:pPr>
      <w:r>
        <w:rPr>
          <w:b w:val="0"/>
          <w:i w:val="0"/>
          <w:sz w:val="22"/>
        </w:rPr>
        <w:t>30. Abril-Pla O, Andreani V, Carroll C, et al. PyMC: a modern and comprehensive probabilistic programming framework in Python. PeerJ Comput Sci 2023;9:e1516. doi:10.7717/peerj-cs.1516.</w:t>
      </w:r>
    </w:p>
    <w:p>
      <w:pPr>
        <w:spacing w:after="40" w:line="480" w:lineRule="auto"/>
        <w:jc w:val="both"/>
      </w:pPr>
      <w:r>
        <w:rPr>
          <w:b w:val="0"/>
          <w:i w:val="0"/>
          <w:sz w:val="24"/>
        </w:rPr>
      </w:r>
    </w:p>
    <w:p>
      <w:pPr>
        <w:spacing w:after="60" w:line="240" w:lineRule="auto"/>
        <w:jc w:val="left"/>
      </w:pPr>
      <w:r>
        <w:rPr>
          <w:b/>
          <w:i w:val="0"/>
          <w:sz w:val="24"/>
        </w:rPr>
        <w:t>Table 1. National source fusion and estimated district surveillance completeness by injury cause, India 2023.</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b/>
                <w:sz w:val="18"/>
              </w:rPr>
              <w:t>Cause</w:t>
            </w:r>
          </w:p>
        </w:tc>
        <w:tc>
          <w:tcPr>
            <w:tcW w:type="dxa" w:w="1344"/>
          </w:tcPr>
          <w:p>
            <w:r/>
            <w:r>
              <w:rPr>
                <w:b/>
                <w:sz w:val="18"/>
              </w:rPr>
              <w:t>GBD deaths</w:t>
            </w:r>
          </w:p>
        </w:tc>
        <w:tc>
          <w:tcPr>
            <w:tcW w:type="dxa" w:w="1344"/>
          </w:tcPr>
          <w:p>
            <w:r/>
            <w:r>
              <w:rPr>
                <w:b/>
                <w:sz w:val="18"/>
              </w:rPr>
              <w:t>NCRB deaths</w:t>
            </w:r>
          </w:p>
        </w:tc>
        <w:tc>
          <w:tcPr>
            <w:tcW w:type="dxa" w:w="1344"/>
          </w:tcPr>
          <w:p>
            <w:r/>
            <w:r>
              <w:rPr>
                <w:b/>
                <w:sz w:val="18"/>
              </w:rPr>
              <w:t>GBD/NCRB ratio</w:t>
            </w:r>
          </w:p>
        </w:tc>
        <w:tc>
          <w:tcPr>
            <w:tcW w:type="dxa" w:w="1344"/>
          </w:tcPr>
          <w:p>
            <w:r/>
            <w:r>
              <w:rPr>
                <w:b/>
                <w:sz w:val="18"/>
              </w:rPr>
              <w:t>Fused true deaths</w:t>
            </w:r>
          </w:p>
        </w:tc>
        <w:tc>
          <w:tcPr>
            <w:tcW w:type="dxa" w:w="1344"/>
          </w:tcPr>
          <w:p>
            <w:r/>
            <w:r>
              <w:rPr>
                <w:b/>
                <w:sz w:val="18"/>
              </w:rPr>
              <w:t>District completeness median (IQR)</w:t>
            </w:r>
          </w:p>
        </w:tc>
        <w:tc>
          <w:tcPr>
            <w:tcW w:type="dxa" w:w="1344"/>
          </w:tcPr>
          <w:p>
            <w:r/>
            <w:r>
              <w:rPr>
                <w:b/>
                <w:sz w:val="18"/>
              </w:rPr>
              <w:t>Anchored</w:t>
            </w:r>
          </w:p>
        </w:tc>
      </w:tr>
      <w:tr>
        <w:tc>
          <w:tcPr>
            <w:tcW w:type="dxa" w:w="1344"/>
          </w:tcPr>
          <w:p>
            <w:r/>
            <w:r>
              <w:rPr>
                <w:sz w:val="18"/>
              </w:rPr>
              <w:t>all_injury</w:t>
            </w:r>
          </w:p>
        </w:tc>
        <w:tc>
          <w:tcPr>
            <w:tcW w:type="dxa" w:w="1344"/>
          </w:tcPr>
          <w:p>
            <w:r/>
            <w:r>
              <w:rPr>
                <w:sz w:val="18"/>
              </w:rPr>
              <w:t>896861</w:t>
            </w:r>
          </w:p>
        </w:tc>
        <w:tc>
          <w:tcPr>
            <w:tcW w:type="dxa" w:w="1344"/>
          </w:tcPr>
          <w:p>
            <w:r/>
            <w:r>
              <w:rPr>
                <w:sz w:val="18"/>
              </w:rPr>
              <w:t>580432</w:t>
            </w:r>
          </w:p>
        </w:tc>
        <w:tc>
          <w:tcPr>
            <w:tcW w:type="dxa" w:w="1344"/>
          </w:tcPr>
          <w:p>
            <w:r/>
            <w:r>
              <w:rPr>
                <w:sz w:val="18"/>
              </w:rPr>
              <w:t>1.55</w:t>
            </w:r>
          </w:p>
        </w:tc>
        <w:tc>
          <w:tcPr>
            <w:tcW w:type="dxa" w:w="1344"/>
          </w:tcPr>
          <w:p>
            <w:r/>
            <w:r>
              <w:rPr>
                <w:sz w:val="18"/>
              </w:rPr>
              <w:t>978423</w:t>
            </w:r>
          </w:p>
        </w:tc>
        <w:tc>
          <w:tcPr>
            <w:tcW w:type="dxa" w:w="1344"/>
          </w:tcPr>
          <w:p>
            <w:r/>
            <w:r>
              <w:rPr>
                <w:sz w:val="18"/>
              </w:rPr>
              <w:t>0.51 (0.40–0.64)</w:t>
            </w:r>
          </w:p>
        </w:tc>
        <w:tc>
          <w:tcPr>
            <w:tcW w:type="dxa" w:w="1344"/>
          </w:tcPr>
          <w:p>
            <w:r/>
            <w:r>
              <w:rPr>
                <w:sz w:val="18"/>
              </w:rPr>
              <w:t>Yes</w:t>
            </w:r>
          </w:p>
        </w:tc>
      </w:tr>
      <w:tr>
        <w:tc>
          <w:tcPr>
            <w:tcW w:type="dxa" w:w="1344"/>
          </w:tcPr>
          <w:p>
            <w:r/>
            <w:r>
              <w:rPr>
                <w:sz w:val="18"/>
              </w:rPr>
              <w:t>road</w:t>
            </w:r>
          </w:p>
        </w:tc>
        <w:tc>
          <w:tcPr>
            <w:tcW w:type="dxa" w:w="1344"/>
          </w:tcPr>
          <w:p>
            <w:r/>
            <w:r>
              <w:rPr>
                <w:sz w:val="18"/>
              </w:rPr>
              <w:t>462017</w:t>
            </w:r>
          </w:p>
        </w:tc>
        <w:tc>
          <w:tcPr>
            <w:tcW w:type="dxa" w:w="1344"/>
          </w:tcPr>
          <w:p>
            <w:r/>
            <w:r>
              <w:rPr>
                <w:sz w:val="18"/>
              </w:rPr>
              <w:t>164886</w:t>
            </w:r>
          </w:p>
        </w:tc>
        <w:tc>
          <w:tcPr>
            <w:tcW w:type="dxa" w:w="1344"/>
          </w:tcPr>
          <w:p>
            <w:r/>
            <w:r>
              <w:rPr>
                <w:sz w:val="18"/>
              </w:rPr>
              <w:t>2.8</w:t>
            </w:r>
          </w:p>
        </w:tc>
        <w:tc>
          <w:tcPr>
            <w:tcW w:type="dxa" w:w="1344"/>
          </w:tcPr>
          <w:p>
            <w:r/>
            <w:r>
              <w:rPr>
                <w:sz w:val="18"/>
              </w:rPr>
              <w:t>528388</w:t>
            </w:r>
          </w:p>
        </w:tc>
        <w:tc>
          <w:tcPr>
            <w:tcW w:type="dxa" w:w="1344"/>
          </w:tcPr>
          <w:p>
            <w:r/>
            <w:r>
              <w:rPr>
                <w:sz w:val="18"/>
              </w:rPr>
              <w:t>0.28 (0.26–0.32)</w:t>
            </w:r>
          </w:p>
        </w:tc>
        <w:tc>
          <w:tcPr>
            <w:tcW w:type="dxa" w:w="1344"/>
          </w:tcPr>
          <w:p>
            <w:r/>
            <w:r>
              <w:rPr>
                <w:sz w:val="18"/>
              </w:rPr>
              <w:t>Yes</w:t>
            </w:r>
          </w:p>
        </w:tc>
      </w:tr>
      <w:tr>
        <w:tc>
          <w:tcPr>
            <w:tcW w:type="dxa" w:w="1344"/>
          </w:tcPr>
          <w:p>
            <w:r/>
            <w:r>
              <w:rPr>
                <w:sz w:val="18"/>
              </w:rPr>
              <w:t>falls</w:t>
            </w:r>
          </w:p>
        </w:tc>
        <w:tc>
          <w:tcPr>
            <w:tcW w:type="dxa" w:w="1344"/>
          </w:tcPr>
          <w:p>
            <w:r/>
            <w:r>
              <w:rPr>
                <w:sz w:val="18"/>
              </w:rPr>
              <w:t>203999</w:t>
            </w:r>
          </w:p>
        </w:tc>
        <w:tc>
          <w:tcPr>
            <w:tcW w:type="dxa" w:w="1344"/>
          </w:tcPr>
          <w:p>
            <w:r/>
            <w:r>
              <w:rPr>
                <w:sz w:val="18"/>
              </w:rPr>
              <w:t>23805</w:t>
            </w:r>
          </w:p>
        </w:tc>
        <w:tc>
          <w:tcPr>
            <w:tcW w:type="dxa" w:w="1344"/>
          </w:tcPr>
          <w:p>
            <w:r/>
            <w:r>
              <w:rPr>
                <w:sz w:val="18"/>
              </w:rPr>
              <w:t>8.57</w:t>
            </w:r>
          </w:p>
        </w:tc>
        <w:tc>
          <w:tcPr>
            <w:tcW w:type="dxa" w:w="1344"/>
          </w:tcPr>
          <w:p>
            <w:r/>
            <w:r>
              <w:rPr>
                <w:sz w:val="18"/>
              </w:rPr>
              <w:t>205900</w:t>
            </w:r>
          </w:p>
        </w:tc>
        <w:tc>
          <w:tcPr>
            <w:tcW w:type="dxa" w:w="1344"/>
          </w:tcPr>
          <w:p>
            <w:r/>
            <w:r>
              <w:rPr>
                <w:sz w:val="18"/>
              </w:rPr>
              <w:t>0.09 (0.07–0.11)</w:t>
            </w:r>
          </w:p>
        </w:tc>
        <w:tc>
          <w:tcPr>
            <w:tcW w:type="dxa" w:w="1344"/>
          </w:tcPr>
          <w:p>
            <w:r/>
            <w:r>
              <w:rPr>
                <w:sz w:val="18"/>
              </w:rPr>
              <w:t>No (projected)</w:t>
            </w:r>
          </w:p>
        </w:tc>
      </w:tr>
      <w:tr>
        <w:tc>
          <w:tcPr>
            <w:tcW w:type="dxa" w:w="1344"/>
          </w:tcPr>
          <w:p>
            <w:r/>
            <w:r>
              <w:rPr>
                <w:sz w:val="18"/>
              </w:rPr>
              <w:t>drowning</w:t>
            </w:r>
          </w:p>
        </w:tc>
        <w:tc>
          <w:tcPr>
            <w:tcW w:type="dxa" w:w="1344"/>
          </w:tcPr>
          <w:p>
            <w:r/>
            <w:r>
              <w:rPr>
                <w:sz w:val="18"/>
              </w:rPr>
              <w:t>47392</w:t>
            </w:r>
          </w:p>
        </w:tc>
        <w:tc>
          <w:tcPr>
            <w:tcW w:type="dxa" w:w="1344"/>
          </w:tcPr>
          <w:p>
            <w:r/>
            <w:r>
              <w:rPr>
                <w:sz w:val="18"/>
              </w:rPr>
              <w:t>35927</w:t>
            </w:r>
          </w:p>
        </w:tc>
        <w:tc>
          <w:tcPr>
            <w:tcW w:type="dxa" w:w="1344"/>
          </w:tcPr>
          <w:p>
            <w:r/>
            <w:r>
              <w:rPr>
                <w:sz w:val="18"/>
              </w:rPr>
              <w:t>1.32</w:t>
            </w:r>
          </w:p>
        </w:tc>
        <w:tc>
          <w:tcPr>
            <w:tcW w:type="dxa" w:w="1344"/>
          </w:tcPr>
          <w:p>
            <w:r/>
            <w:r>
              <w:rPr>
                <w:sz w:val="18"/>
              </w:rPr>
              <w:t>54713</w:t>
            </w:r>
          </w:p>
        </w:tc>
        <w:tc>
          <w:tcPr>
            <w:tcW w:type="dxa" w:w="1344"/>
          </w:tcPr>
          <w:p>
            <w:r/>
            <w:r>
              <w:rPr>
                <w:sz w:val="18"/>
              </w:rPr>
              <w:t>0.62 (0.55–0.70)</w:t>
            </w:r>
          </w:p>
        </w:tc>
        <w:tc>
          <w:tcPr>
            <w:tcW w:type="dxa" w:w="1344"/>
          </w:tcPr>
          <w:p>
            <w:r/>
            <w:r>
              <w:rPr>
                <w:sz w:val="18"/>
              </w:rPr>
              <w:t>No (projected)</w:t>
            </w:r>
          </w:p>
        </w:tc>
      </w:tr>
      <w:tr>
        <w:tc>
          <w:tcPr>
            <w:tcW w:type="dxa" w:w="1344"/>
          </w:tcPr>
          <w:p>
            <w:r/>
            <w:r>
              <w:rPr>
                <w:sz w:val="18"/>
              </w:rPr>
              <w:t>burns</w:t>
            </w:r>
          </w:p>
        </w:tc>
        <w:tc>
          <w:tcPr>
            <w:tcW w:type="dxa" w:w="1344"/>
          </w:tcPr>
          <w:p>
            <w:r/>
            <w:r>
              <w:rPr>
                <w:sz w:val="18"/>
              </w:rPr>
              <w:t>36645</w:t>
            </w:r>
          </w:p>
        </w:tc>
        <w:tc>
          <w:tcPr>
            <w:tcW w:type="dxa" w:w="1344"/>
          </w:tcPr>
          <w:p>
            <w:r/>
            <w:r>
              <w:rPr>
                <w:sz w:val="18"/>
              </w:rPr>
              <w:t>6755</w:t>
            </w:r>
          </w:p>
        </w:tc>
        <w:tc>
          <w:tcPr>
            <w:tcW w:type="dxa" w:w="1344"/>
          </w:tcPr>
          <w:p>
            <w:r/>
            <w:r>
              <w:rPr>
                <w:sz w:val="18"/>
              </w:rPr>
              <w:t>5.42</w:t>
            </w:r>
          </w:p>
        </w:tc>
        <w:tc>
          <w:tcPr>
            <w:tcW w:type="dxa" w:w="1344"/>
          </w:tcPr>
          <w:p>
            <w:r/>
            <w:r>
              <w:rPr>
                <w:sz w:val="18"/>
              </w:rPr>
              <w:t>35512</w:t>
            </w:r>
          </w:p>
        </w:tc>
        <w:tc>
          <w:tcPr>
            <w:tcW w:type="dxa" w:w="1344"/>
          </w:tcPr>
          <w:p>
            <w:r/>
            <w:r>
              <w:rPr>
                <w:sz w:val="18"/>
              </w:rPr>
              <w:t>0.17 (0.16–0.19)</w:t>
            </w:r>
          </w:p>
        </w:tc>
        <w:tc>
          <w:tcPr>
            <w:tcW w:type="dxa" w:w="1344"/>
          </w:tcPr>
          <w:p>
            <w:r/>
            <w:r>
              <w:rPr>
                <w:sz w:val="18"/>
              </w:rPr>
              <w:t>No (projected)</w:t>
            </w:r>
          </w:p>
        </w:tc>
      </w:tr>
      <w:tr>
        <w:tc>
          <w:tcPr>
            <w:tcW w:type="dxa" w:w="1344"/>
          </w:tcPr>
          <w:p>
            <w:r/>
            <w:r>
              <w:rPr>
                <w:sz w:val="18"/>
              </w:rPr>
              <w:t>suicide</w:t>
            </w:r>
          </w:p>
        </w:tc>
        <w:tc>
          <w:tcPr>
            <w:tcW w:type="dxa" w:w="1344"/>
          </w:tcPr>
          <w:p>
            <w:r/>
            <w:r>
              <w:rPr>
                <w:sz w:val="18"/>
              </w:rPr>
              <w:t>376165</w:t>
            </w:r>
          </w:p>
        </w:tc>
        <w:tc>
          <w:tcPr>
            <w:tcW w:type="dxa" w:w="1344"/>
          </w:tcPr>
          <w:p>
            <w:r/>
            <w:r>
              <w:rPr>
                <w:sz w:val="18"/>
              </w:rPr>
              <w:t>159435</w:t>
            </w:r>
          </w:p>
        </w:tc>
        <w:tc>
          <w:tcPr>
            <w:tcW w:type="dxa" w:w="1344"/>
          </w:tcPr>
          <w:p>
            <w:r/>
            <w:r>
              <w:rPr>
                <w:sz w:val="18"/>
              </w:rPr>
              <w:t>2.36</w:t>
            </w:r>
          </w:p>
        </w:tc>
        <w:tc>
          <w:tcPr>
            <w:tcW w:type="dxa" w:w="1344"/>
          </w:tcPr>
          <w:p>
            <w:r/>
            <w:r>
              <w:rPr>
                <w:sz w:val="18"/>
              </w:rPr>
              <w:t>382800</w:t>
            </w:r>
          </w:p>
        </w:tc>
        <w:tc>
          <w:tcPr>
            <w:tcW w:type="dxa" w:w="1344"/>
          </w:tcPr>
          <w:p>
            <w:r/>
            <w:r>
              <w:rPr>
                <w:sz w:val="18"/>
              </w:rPr>
              <w:t>0.29 (0.21–0.42)</w:t>
            </w:r>
          </w:p>
        </w:tc>
        <w:tc>
          <w:tcPr>
            <w:tcW w:type="dxa" w:w="1344"/>
          </w:tcPr>
          <w:p>
            <w:r/>
            <w:r>
              <w:rPr>
                <w:sz w:val="18"/>
              </w:rPr>
              <w:t>Yes</w:t>
            </w:r>
          </w:p>
        </w:tc>
      </w:tr>
    </w:tbl>
    <w:p>
      <w:pPr>
        <w:spacing w:after="120" w:line="240" w:lineRule="auto"/>
        <w:jc w:val="both"/>
      </w:pPr>
      <w:r>
        <w:rPr>
          <w:b w:val="0"/>
          <w:i/>
          <w:sz w:val="18"/>
        </w:rPr>
        <w:t>GBD: Global Burden of Disease; NCRB: National Crime Records Bureau. Fused true deaths are posterior means aggregated from district estimates. Completeness = administrative/true deaths. Anchored causes have city-level validation data; projected causes rely on covariate downscaling only.</w:t>
      </w:r>
    </w:p>
    <w:p>
      <w:pPr>
        <w:spacing w:after="60" w:line="240" w:lineRule="auto"/>
        <w:jc w:val="left"/>
      </w:pPr>
      <w:r>
        <w:rPr>
          <w:b/>
          <w:i w:val="0"/>
          <w:sz w:val="24"/>
        </w:rPr>
        <w:t>Table 2. Leading all-injury surveillance blind-spot districts (highest burden × uncertainty × under-reporting), India 2023.</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18"/>
              </w:rPr>
              <w:t>District</w:t>
            </w:r>
          </w:p>
        </w:tc>
        <w:tc>
          <w:tcPr>
            <w:tcW w:type="dxa" w:w="2351"/>
          </w:tcPr>
          <w:p>
            <w:r/>
            <w:r>
              <w:rPr>
                <w:b/>
                <w:sz w:val="18"/>
              </w:rPr>
              <w:t>State</w:t>
            </w:r>
          </w:p>
        </w:tc>
        <w:tc>
          <w:tcPr>
            <w:tcW w:type="dxa" w:w="2351"/>
          </w:tcPr>
          <w:p>
            <w:r/>
            <w:r>
              <w:rPr>
                <w:b/>
                <w:sz w:val="18"/>
              </w:rPr>
              <w:t>Rate per 100k (95% CrI)</w:t>
            </w:r>
          </w:p>
        </w:tc>
        <w:tc>
          <w:tcPr>
            <w:tcW w:type="dxa" w:w="2351"/>
          </w:tcPr>
          <w:p>
            <w:r/>
            <w:r>
              <w:rPr>
                <w:b/>
                <w:sz w:val="18"/>
              </w:rPr>
              <w:t>Completeness</w:t>
            </w:r>
          </w:p>
        </w:tc>
      </w:tr>
      <w:tr>
        <w:tc>
          <w:tcPr>
            <w:tcW w:type="dxa" w:w="2351"/>
          </w:tcPr>
          <w:p>
            <w:r/>
            <w:r>
              <w:rPr>
                <w:sz w:val="18"/>
              </w:rPr>
              <w:t>Sukma</w:t>
            </w:r>
          </w:p>
        </w:tc>
        <w:tc>
          <w:tcPr>
            <w:tcW w:type="dxa" w:w="2351"/>
          </w:tcPr>
          <w:p>
            <w:r/>
            <w:r>
              <w:rPr>
                <w:sz w:val="18"/>
              </w:rPr>
              <w:t>Chhattisgarh</w:t>
            </w:r>
          </w:p>
        </w:tc>
        <w:tc>
          <w:tcPr>
            <w:tcW w:type="dxa" w:w="2351"/>
          </w:tcPr>
          <w:p>
            <w:r/>
            <w:r>
              <w:rPr>
                <w:sz w:val="18"/>
              </w:rPr>
              <w:t>300.5 (19.1–940.3)</w:t>
            </w:r>
          </w:p>
        </w:tc>
        <w:tc>
          <w:tcPr>
            <w:tcW w:type="dxa" w:w="2351"/>
          </w:tcPr>
          <w:p>
            <w:r/>
            <w:r>
              <w:rPr>
                <w:sz w:val="18"/>
              </w:rPr>
              <w:t>0.49</w:t>
            </w:r>
          </w:p>
        </w:tc>
      </w:tr>
      <w:tr>
        <w:tc>
          <w:tcPr>
            <w:tcW w:type="dxa" w:w="2351"/>
          </w:tcPr>
          <w:p>
            <w:r/>
            <w:r>
              <w:rPr>
                <w:sz w:val="18"/>
              </w:rPr>
              <w:t>Jashpur</w:t>
            </w:r>
          </w:p>
        </w:tc>
        <w:tc>
          <w:tcPr>
            <w:tcW w:type="dxa" w:w="2351"/>
          </w:tcPr>
          <w:p>
            <w:r/>
            <w:r>
              <w:rPr>
                <w:sz w:val="18"/>
              </w:rPr>
              <w:t>Chhattisgarh</w:t>
            </w:r>
          </w:p>
        </w:tc>
        <w:tc>
          <w:tcPr>
            <w:tcW w:type="dxa" w:w="2351"/>
          </w:tcPr>
          <w:p>
            <w:r/>
            <w:r>
              <w:rPr>
                <w:sz w:val="18"/>
              </w:rPr>
              <w:t>269.6 (83.7–605.2)</w:t>
            </w:r>
          </w:p>
        </w:tc>
        <w:tc>
          <w:tcPr>
            <w:tcW w:type="dxa" w:w="2351"/>
          </w:tcPr>
          <w:p>
            <w:r/>
            <w:r>
              <w:rPr>
                <w:sz w:val="18"/>
              </w:rPr>
              <w:t>0.36</w:t>
            </w:r>
          </w:p>
        </w:tc>
      </w:tr>
      <w:tr>
        <w:tc>
          <w:tcPr>
            <w:tcW w:type="dxa" w:w="2351"/>
          </w:tcPr>
          <w:p>
            <w:r/>
            <w:r>
              <w:rPr>
                <w:sz w:val="18"/>
              </w:rPr>
              <w:t>Narayanpur</w:t>
            </w:r>
          </w:p>
        </w:tc>
        <w:tc>
          <w:tcPr>
            <w:tcW w:type="dxa" w:w="2351"/>
          </w:tcPr>
          <w:p>
            <w:r/>
            <w:r>
              <w:rPr>
                <w:sz w:val="18"/>
              </w:rPr>
              <w:t>Chhattisgarh</w:t>
            </w:r>
          </w:p>
        </w:tc>
        <w:tc>
          <w:tcPr>
            <w:tcW w:type="dxa" w:w="2351"/>
          </w:tcPr>
          <w:p>
            <w:r/>
            <w:r>
              <w:rPr>
                <w:sz w:val="18"/>
              </w:rPr>
              <w:t>222.6 (24.5–674.5)</w:t>
            </w:r>
          </w:p>
        </w:tc>
        <w:tc>
          <w:tcPr>
            <w:tcW w:type="dxa" w:w="2351"/>
          </w:tcPr>
          <w:p>
            <w:r/>
            <w:r>
              <w:rPr>
                <w:sz w:val="18"/>
              </w:rPr>
              <w:t>0.46</w:t>
            </w:r>
          </w:p>
        </w:tc>
      </w:tr>
      <w:tr>
        <w:tc>
          <w:tcPr>
            <w:tcW w:type="dxa" w:w="2351"/>
          </w:tcPr>
          <w:p>
            <w:r/>
            <w:r>
              <w:rPr>
                <w:sz w:val="18"/>
              </w:rPr>
              <w:t>Hamirpur</w:t>
            </w:r>
          </w:p>
        </w:tc>
        <w:tc>
          <w:tcPr>
            <w:tcW w:type="dxa" w:w="2351"/>
          </w:tcPr>
          <w:p>
            <w:r/>
            <w:r>
              <w:rPr>
                <w:sz w:val="18"/>
              </w:rPr>
              <w:t>Himachal Pradesh</w:t>
            </w:r>
          </w:p>
        </w:tc>
        <w:tc>
          <w:tcPr>
            <w:tcW w:type="dxa" w:w="2351"/>
          </w:tcPr>
          <w:p>
            <w:r/>
            <w:r>
              <w:rPr>
                <w:sz w:val="18"/>
              </w:rPr>
              <w:t>238.8 (64.4–569.5)</w:t>
            </w:r>
          </w:p>
        </w:tc>
        <w:tc>
          <w:tcPr>
            <w:tcW w:type="dxa" w:w="2351"/>
          </w:tcPr>
          <w:p>
            <w:r/>
            <w:r>
              <w:rPr>
                <w:sz w:val="18"/>
              </w:rPr>
              <w:t>0.37</w:t>
            </w:r>
          </w:p>
        </w:tc>
      </w:tr>
      <w:tr>
        <w:tc>
          <w:tcPr>
            <w:tcW w:type="dxa" w:w="2351"/>
          </w:tcPr>
          <w:p>
            <w:r/>
            <w:r>
              <w:rPr>
                <w:sz w:val="18"/>
              </w:rPr>
              <w:t>Balrampur</w:t>
            </w:r>
          </w:p>
        </w:tc>
        <w:tc>
          <w:tcPr>
            <w:tcW w:type="dxa" w:w="2351"/>
          </w:tcPr>
          <w:p>
            <w:r/>
            <w:r>
              <w:rPr>
                <w:sz w:val="18"/>
              </w:rPr>
              <w:t>Chhattisgarh</w:t>
            </w:r>
          </w:p>
        </w:tc>
        <w:tc>
          <w:tcPr>
            <w:tcW w:type="dxa" w:w="2351"/>
          </w:tcPr>
          <w:p>
            <w:r/>
            <w:r>
              <w:rPr>
                <w:sz w:val="18"/>
              </w:rPr>
              <w:t>254.7 (69.8–640.3)</w:t>
            </w:r>
          </w:p>
        </w:tc>
        <w:tc>
          <w:tcPr>
            <w:tcW w:type="dxa" w:w="2351"/>
          </w:tcPr>
          <w:p>
            <w:r/>
            <w:r>
              <w:rPr>
                <w:sz w:val="18"/>
              </w:rPr>
              <w:t>0.49</w:t>
            </w:r>
          </w:p>
        </w:tc>
      </w:tr>
      <w:tr>
        <w:tc>
          <w:tcPr>
            <w:tcW w:type="dxa" w:w="2351"/>
          </w:tcPr>
          <w:p>
            <w:r/>
            <w:r>
              <w:rPr>
                <w:sz w:val="18"/>
              </w:rPr>
              <w:t>Debagarh</w:t>
            </w:r>
          </w:p>
        </w:tc>
        <w:tc>
          <w:tcPr>
            <w:tcW w:type="dxa" w:w="2351"/>
          </w:tcPr>
          <w:p>
            <w:r/>
            <w:r>
              <w:rPr>
                <w:sz w:val="18"/>
              </w:rPr>
              <w:t>Odisha</w:t>
            </w:r>
          </w:p>
        </w:tc>
        <w:tc>
          <w:tcPr>
            <w:tcW w:type="dxa" w:w="2351"/>
          </w:tcPr>
          <w:p>
            <w:r/>
            <w:r>
              <w:rPr>
                <w:sz w:val="18"/>
              </w:rPr>
              <w:t>215.4 (54.8–560.5)</w:t>
            </w:r>
          </w:p>
        </w:tc>
        <w:tc>
          <w:tcPr>
            <w:tcW w:type="dxa" w:w="2351"/>
          </w:tcPr>
          <w:p>
            <w:r/>
            <w:r>
              <w:rPr>
                <w:sz w:val="18"/>
              </w:rPr>
              <w:t>0.34</w:t>
            </w:r>
          </w:p>
        </w:tc>
      </w:tr>
      <w:tr>
        <w:tc>
          <w:tcPr>
            <w:tcW w:type="dxa" w:w="2351"/>
          </w:tcPr>
          <w:p>
            <w:r/>
            <w:r>
              <w:rPr>
                <w:sz w:val="18"/>
              </w:rPr>
              <w:t>Surajpur</w:t>
            </w:r>
          </w:p>
        </w:tc>
        <w:tc>
          <w:tcPr>
            <w:tcW w:type="dxa" w:w="2351"/>
          </w:tcPr>
          <w:p>
            <w:r/>
            <w:r>
              <w:rPr>
                <w:sz w:val="18"/>
              </w:rPr>
              <w:t>Chhattisgarh</w:t>
            </w:r>
          </w:p>
        </w:tc>
        <w:tc>
          <w:tcPr>
            <w:tcW w:type="dxa" w:w="2351"/>
          </w:tcPr>
          <w:p>
            <w:r/>
            <w:r>
              <w:rPr>
                <w:sz w:val="18"/>
              </w:rPr>
              <w:t>242.0 (71.3–565.8)</w:t>
            </w:r>
          </w:p>
        </w:tc>
        <w:tc>
          <w:tcPr>
            <w:tcW w:type="dxa" w:w="2351"/>
          </w:tcPr>
          <w:p>
            <w:r/>
            <w:r>
              <w:rPr>
                <w:sz w:val="18"/>
              </w:rPr>
              <w:t>0.5</w:t>
            </w:r>
          </w:p>
        </w:tc>
      </w:tr>
      <w:tr>
        <w:tc>
          <w:tcPr>
            <w:tcW w:type="dxa" w:w="2351"/>
          </w:tcPr>
          <w:p>
            <w:r/>
            <w:r>
              <w:rPr>
                <w:sz w:val="18"/>
              </w:rPr>
              <w:t>Kinnaur</w:t>
            </w:r>
          </w:p>
        </w:tc>
        <w:tc>
          <w:tcPr>
            <w:tcW w:type="dxa" w:w="2351"/>
          </w:tcPr>
          <w:p>
            <w:r/>
            <w:r>
              <w:rPr>
                <w:sz w:val="18"/>
              </w:rPr>
              <w:t>Himachal Pradesh</w:t>
            </w:r>
          </w:p>
        </w:tc>
        <w:tc>
          <w:tcPr>
            <w:tcW w:type="dxa" w:w="2351"/>
          </w:tcPr>
          <w:p>
            <w:r/>
            <w:r>
              <w:rPr>
                <w:sz w:val="18"/>
              </w:rPr>
              <w:t>195.3 (50.4–466.0)</w:t>
            </w:r>
          </w:p>
        </w:tc>
        <w:tc>
          <w:tcPr>
            <w:tcW w:type="dxa" w:w="2351"/>
          </w:tcPr>
          <w:p>
            <w:r/>
            <w:r>
              <w:rPr>
                <w:sz w:val="18"/>
              </w:rPr>
              <w:t>0.27</w:t>
            </w:r>
          </w:p>
        </w:tc>
      </w:tr>
      <w:tr>
        <w:tc>
          <w:tcPr>
            <w:tcW w:type="dxa" w:w="2351"/>
          </w:tcPr>
          <w:p>
            <w:r/>
            <w:r>
              <w:rPr>
                <w:sz w:val="18"/>
              </w:rPr>
              <w:t>Dakshin Bastar Dantewada</w:t>
            </w:r>
          </w:p>
        </w:tc>
        <w:tc>
          <w:tcPr>
            <w:tcW w:type="dxa" w:w="2351"/>
          </w:tcPr>
          <w:p>
            <w:r/>
            <w:r>
              <w:rPr>
                <w:sz w:val="18"/>
              </w:rPr>
              <w:t>Chhattisgarh</w:t>
            </w:r>
          </w:p>
        </w:tc>
        <w:tc>
          <w:tcPr>
            <w:tcW w:type="dxa" w:w="2351"/>
          </w:tcPr>
          <w:p>
            <w:r/>
            <w:r>
              <w:rPr>
                <w:sz w:val="18"/>
              </w:rPr>
              <w:t>218.2 (37.8–581.6)</w:t>
            </w:r>
          </w:p>
        </w:tc>
        <w:tc>
          <w:tcPr>
            <w:tcW w:type="dxa" w:w="2351"/>
          </w:tcPr>
          <w:p>
            <w:r/>
            <w:r>
              <w:rPr>
                <w:sz w:val="18"/>
              </w:rPr>
              <w:t>0.51</w:t>
            </w:r>
          </w:p>
        </w:tc>
      </w:tr>
      <w:tr>
        <w:tc>
          <w:tcPr>
            <w:tcW w:type="dxa" w:w="2351"/>
          </w:tcPr>
          <w:p>
            <w:r/>
            <w:r>
              <w:rPr>
                <w:sz w:val="18"/>
              </w:rPr>
              <w:t>Chhatarpur</w:t>
            </w:r>
          </w:p>
        </w:tc>
        <w:tc>
          <w:tcPr>
            <w:tcW w:type="dxa" w:w="2351"/>
          </w:tcPr>
          <w:p>
            <w:r/>
            <w:r>
              <w:rPr>
                <w:sz w:val="18"/>
              </w:rPr>
              <w:t>Madhya Pradesh</w:t>
            </w:r>
          </w:p>
        </w:tc>
        <w:tc>
          <w:tcPr>
            <w:tcW w:type="dxa" w:w="2351"/>
          </w:tcPr>
          <w:p>
            <w:r/>
            <w:r>
              <w:rPr>
                <w:sz w:val="18"/>
              </w:rPr>
              <w:t>249.5 (93.0–519.0)</w:t>
            </w:r>
          </w:p>
        </w:tc>
        <w:tc>
          <w:tcPr>
            <w:tcW w:type="dxa" w:w="2351"/>
          </w:tcPr>
          <w:p>
            <w:r/>
            <w:r>
              <w:rPr>
                <w:sz w:val="18"/>
              </w:rPr>
              <w:t>0.5</w:t>
            </w:r>
          </w:p>
        </w:tc>
      </w:tr>
    </w:tbl>
    <w:p>
      <w:pPr>
        <w:spacing w:after="120" w:line="240" w:lineRule="auto"/>
        <w:jc w:val="both"/>
      </w:pPr>
      <w:r>
        <w:rPr>
          <w:b w:val="0"/>
          <w:i/>
          <w:sz w:val="18"/>
        </w:rPr>
        <w:t>Rate is posterior mean per 100 000 (95% credible interval). Completeness = estimated administrative/true deaths.</w:t>
      </w:r>
    </w:p>
    <w:p>
      <w:pPr>
        <w:spacing w:after="60" w:line="240" w:lineRule="auto"/>
        <w:jc w:val="left"/>
      </w:pPr>
      <w:r>
        <w:rPr>
          <w:b/>
          <w:i w:val="0"/>
          <w:sz w:val="24"/>
        </w:rPr>
        <w:t>Table 3. Five-fold spatial cross-validation of anchored causes.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b/>
                <w:sz w:val="18"/>
              </w:rPr>
              <w:t>Cause</w:t>
            </w:r>
          </w:p>
        </w:tc>
        <w:tc>
          <w:tcPr>
            <w:tcW w:type="dxa" w:w="1568"/>
          </w:tcPr>
          <w:p>
            <w:r/>
            <w:r>
              <w:rPr>
                <w:b/>
                <w:sz w:val="18"/>
              </w:rPr>
              <w:t>Anchor cities</w:t>
            </w:r>
          </w:p>
        </w:tc>
        <w:tc>
          <w:tcPr>
            <w:tcW w:type="dxa" w:w="1568"/>
          </w:tcPr>
          <w:p>
            <w:r/>
            <w:r>
              <w:rPr>
                <w:b/>
                <w:sz w:val="18"/>
              </w:rPr>
              <w:t>95% coverage</w:t>
            </w:r>
          </w:p>
        </w:tc>
        <w:tc>
          <w:tcPr>
            <w:tcW w:type="dxa" w:w="1568"/>
          </w:tcPr>
          <w:p>
            <w:r/>
            <w:r>
              <w:rPr>
                <w:b/>
                <w:sz w:val="18"/>
              </w:rPr>
              <w:t>log-RMSE</w:t>
            </w:r>
          </w:p>
        </w:tc>
        <w:tc>
          <w:tcPr>
            <w:tcW w:type="dxa" w:w="1568"/>
          </w:tcPr>
          <w:p>
            <w:r/>
            <w:r>
              <w:rPr>
                <w:b/>
                <w:sz w:val="18"/>
              </w:rPr>
              <w:t>log-MAE</w:t>
            </w:r>
          </w:p>
        </w:tc>
        <w:tc>
          <w:tcPr>
            <w:tcW w:type="dxa" w:w="1568"/>
          </w:tcPr>
          <w:p>
            <w:r/>
            <w:r>
              <w:rPr>
                <w:b/>
                <w:sz w:val="18"/>
              </w:rPr>
              <w:t>Spearman ρ</w:t>
            </w:r>
          </w:p>
        </w:tc>
      </w:tr>
      <w:tr>
        <w:tc>
          <w:tcPr>
            <w:tcW w:type="dxa" w:w="1568"/>
          </w:tcPr>
          <w:p>
            <w:r/>
            <w:r>
              <w:rPr>
                <w:sz w:val="18"/>
              </w:rPr>
              <w:t>all_injury</w:t>
            </w:r>
          </w:p>
        </w:tc>
        <w:tc>
          <w:tcPr>
            <w:tcW w:type="dxa" w:w="1568"/>
          </w:tcPr>
          <w:p>
            <w:r/>
            <w:r>
              <w:rPr>
                <w:sz w:val="18"/>
              </w:rPr>
              <w:t>41</w:t>
            </w:r>
          </w:p>
        </w:tc>
        <w:tc>
          <w:tcPr>
            <w:tcW w:type="dxa" w:w="1568"/>
          </w:tcPr>
          <w:p>
            <w:r/>
            <w:r>
              <w:rPr>
                <w:sz w:val="18"/>
              </w:rPr>
              <w:t>0.93</w:t>
            </w:r>
          </w:p>
        </w:tc>
        <w:tc>
          <w:tcPr>
            <w:tcW w:type="dxa" w:w="1568"/>
          </w:tcPr>
          <w:p>
            <w:r/>
            <w:r>
              <w:rPr>
                <w:sz w:val="18"/>
              </w:rPr>
              <w:t>0.58</w:t>
            </w:r>
          </w:p>
        </w:tc>
        <w:tc>
          <w:tcPr>
            <w:tcW w:type="dxa" w:w="1568"/>
          </w:tcPr>
          <w:p>
            <w:r/>
            <w:r>
              <w:rPr>
                <w:sz w:val="18"/>
              </w:rPr>
              <w:t>0.46</w:t>
            </w:r>
          </w:p>
        </w:tc>
        <w:tc>
          <w:tcPr>
            <w:tcW w:type="dxa" w:w="1568"/>
          </w:tcPr>
          <w:p>
            <w:r/>
            <w:r>
              <w:rPr>
                <w:sz w:val="18"/>
              </w:rPr>
              <w:t>0.66</w:t>
            </w:r>
          </w:p>
        </w:tc>
      </w:tr>
      <w:tr>
        <w:tc>
          <w:tcPr>
            <w:tcW w:type="dxa" w:w="1568"/>
          </w:tcPr>
          <w:p>
            <w:r/>
            <w:r>
              <w:rPr>
                <w:sz w:val="18"/>
              </w:rPr>
              <w:t>road</w:t>
            </w:r>
          </w:p>
        </w:tc>
        <w:tc>
          <w:tcPr>
            <w:tcW w:type="dxa" w:w="1568"/>
          </w:tcPr>
          <w:p>
            <w:r/>
            <w:r>
              <w:rPr>
                <w:sz w:val="18"/>
              </w:rPr>
              <w:t>41</w:t>
            </w:r>
          </w:p>
        </w:tc>
        <w:tc>
          <w:tcPr>
            <w:tcW w:type="dxa" w:w="1568"/>
          </w:tcPr>
          <w:p>
            <w:r/>
            <w:r>
              <w:rPr>
                <w:sz w:val="18"/>
              </w:rPr>
              <w:t>0.9</w:t>
            </w:r>
          </w:p>
        </w:tc>
        <w:tc>
          <w:tcPr>
            <w:tcW w:type="dxa" w:w="1568"/>
          </w:tcPr>
          <w:p>
            <w:r/>
            <w:r>
              <w:rPr>
                <w:sz w:val="18"/>
              </w:rPr>
              <w:t>0.59</w:t>
            </w:r>
          </w:p>
        </w:tc>
        <w:tc>
          <w:tcPr>
            <w:tcW w:type="dxa" w:w="1568"/>
          </w:tcPr>
          <w:p>
            <w:r/>
            <w:r>
              <w:rPr>
                <w:sz w:val="18"/>
              </w:rPr>
              <w:t>0.48</w:t>
            </w:r>
          </w:p>
        </w:tc>
        <w:tc>
          <w:tcPr>
            <w:tcW w:type="dxa" w:w="1568"/>
          </w:tcPr>
          <w:p>
            <w:r/>
            <w:r>
              <w:rPr>
                <w:sz w:val="18"/>
              </w:rPr>
              <w:t>0.4</w:t>
            </w:r>
          </w:p>
        </w:tc>
      </w:tr>
      <w:tr>
        <w:tc>
          <w:tcPr>
            <w:tcW w:type="dxa" w:w="1568"/>
          </w:tcPr>
          <w:p>
            <w:r/>
            <w:r>
              <w:rPr>
                <w:sz w:val="18"/>
              </w:rPr>
              <w:t>suicide</w:t>
            </w:r>
          </w:p>
        </w:tc>
        <w:tc>
          <w:tcPr>
            <w:tcW w:type="dxa" w:w="1568"/>
          </w:tcPr>
          <w:p>
            <w:r/>
            <w:r>
              <w:rPr>
                <w:sz w:val="18"/>
              </w:rPr>
              <w:t>41</w:t>
            </w:r>
          </w:p>
        </w:tc>
        <w:tc>
          <w:tcPr>
            <w:tcW w:type="dxa" w:w="1568"/>
          </w:tcPr>
          <w:p>
            <w:r/>
            <w:r>
              <w:rPr>
                <w:sz w:val="18"/>
              </w:rPr>
              <w:t>0.93</w:t>
            </w:r>
          </w:p>
        </w:tc>
        <w:tc>
          <w:tcPr>
            <w:tcW w:type="dxa" w:w="1568"/>
          </w:tcPr>
          <w:p>
            <w:r/>
            <w:r>
              <w:rPr>
                <w:sz w:val="18"/>
              </w:rPr>
              <w:t>0.79</w:t>
            </w:r>
          </w:p>
        </w:tc>
        <w:tc>
          <w:tcPr>
            <w:tcW w:type="dxa" w:w="1568"/>
          </w:tcPr>
          <w:p>
            <w:r/>
            <w:r>
              <w:rPr>
                <w:sz w:val="18"/>
              </w:rPr>
              <w:t>0.61</w:t>
            </w:r>
          </w:p>
        </w:tc>
        <w:tc>
          <w:tcPr>
            <w:tcW w:type="dxa" w:w="1568"/>
          </w:tcPr>
          <w:p>
            <w:r/>
            <w:r>
              <w:rPr>
                <w:sz w:val="18"/>
              </w:rPr>
              <w:t>0.74</w:t>
            </w:r>
          </w:p>
        </w:tc>
      </w:tr>
    </w:tbl>
    <w:p>
      <w:pPr>
        <w:spacing w:after="120" w:line="240" w:lineRule="auto"/>
        <w:jc w:val="both"/>
      </w:pPr>
      <w:r>
        <w:rPr>
          <w:b w:val="0"/>
          <w:i/>
          <w:sz w:val="18"/>
        </w:rPr>
        <w:t>Held-out metropolitan-city deaths predicted from the district model. Coverage is the proportion of observations within the 95% credible interval.</w:t>
      </w:r>
    </w:p>
    <w:p>
      <w:pPr>
        <w:spacing w:after="40" w:line="480" w:lineRule="auto"/>
        <w:jc w:val="both"/>
      </w:pPr>
      <w:r>
        <w:rPr>
          <w:b w:val="0"/>
          <w:i w:val="0"/>
          <w:sz w:val="24"/>
        </w:rPr>
      </w:r>
    </w:p>
    <w:p>
      <w:pPr>
        <w:spacing w:after="120" w:line="480" w:lineRule="auto"/>
        <w:jc w:val="left"/>
      </w:pPr>
      <w:r>
        <w:rPr>
          <w:b/>
          <w:i w:val="0"/>
          <w:sz w:val="24"/>
        </w:rPr>
        <w:t>Figure legends</w:t>
      </w:r>
    </w:p>
    <w:p>
      <w:pPr>
        <w:spacing w:after="120" w:line="240" w:lineRule="auto"/>
        <w:jc w:val="left"/>
      </w:pPr>
      <w:r>
        <w:rPr>
          <w:b w:val="0"/>
          <w:i w:val="0"/>
          <w:sz w:val="24"/>
        </w:rPr>
        <w:t>Figure 1. District all-injury mortality rate per 100 000 population (posterior mean, GBD/NCRB-fused), 702 Indian districts, 2023.</w:t>
      </w:r>
    </w:p>
    <w:p>
      <w:pPr>
        <w:spacing w:after="120" w:line="240" w:lineRule="auto"/>
        <w:jc w:val="left"/>
      </w:pPr>
      <w:r>
        <w:rPr>
          <w:b w:val="0"/>
          <w:i w:val="0"/>
          <w:sz w:val="24"/>
        </w:rPr>
        <w:t>Figure 2. Estimated injury surveillance completeness (administrative/true deaths) by district for anchored causes; green indicates near-complete recording, red severe under-capture.</w:t>
      </w:r>
    </w:p>
    <w:p>
      <w:pPr>
        <w:spacing w:after="120" w:line="240" w:lineRule="auto"/>
        <w:jc w:val="left"/>
      </w:pPr>
      <w:r>
        <w:rPr>
          <w:b w:val="0"/>
          <w:i w:val="0"/>
          <w:sz w:val="24"/>
        </w:rPr>
        <w:t>Figure 3. Posterior uncertainty (width of the 95% credible interval) in district all-injury mortality rate.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