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rPr>
          <w:rFonts w:ascii="Times New Roman" w:hAnsi="Times New Roman"/>
          <w:b/>
          <w:i w:val="0"/>
          <w:sz w:val="28"/>
        </w:rPr>
        <w:t>Burden of Injuries in India: A State-Level Analysis of Disability-Adjusted Life Years, Mortality Patterns, and Administrative Data Alignment Using GBD 2023 and National Surveillance Sources</w:t>
      </w:r>
    </w:p>
    <w:p>
      <w:pPr>
        <w:spacing w:before="200" w:after="80"/>
      </w:pPr>
      <w:r>
        <w:rPr>
          <w:rFonts w:ascii="Times New Roman" w:hAnsi="Times New Roman"/>
          <w:b/>
          <w:i w:val="0"/>
          <w:sz w:val="24"/>
        </w:rPr>
        <w:t>ABSTRACT</w:t>
      </w:r>
    </w:p>
    <w:p>
      <w:pPr>
        <w:spacing w:after="120"/>
        <w:jc w:val="both"/>
      </w:pPr>
      <w:r>
        <w:rPr>
          <w:rFonts w:ascii="Times New Roman" w:hAnsi="Times New Roman"/>
          <w:b/>
          <w:i w:val="0"/>
          <w:sz w:val="24"/>
        </w:rPr>
        <w:t xml:space="preserve">Background. </w:t>
      </w:r>
      <w:r>
        <w:rPr>
          <w:rFonts w:ascii="Times New Roman" w:hAnsi="Times New Roman"/>
          <w:b w:val="0"/>
          <w:i w:val="0"/>
          <w:sz w:val="24"/>
        </w:rPr>
        <w:t>Injuries are the leading cause of premature death and disability among working-age Indians, yet state-level heterogeneity in the pattern and composition of injury burden remains poorly characterised. We aimed to quantify subnational injury burden, decompose disability-adjusted life years (DALYs) into premature mortality and lived disability, and benchmark national administrative surveillance data against modelled estimates.</w:t>
      </w:r>
    </w:p>
    <w:p>
      <w:pPr>
        <w:spacing w:after="120"/>
        <w:jc w:val="both"/>
      </w:pPr>
      <w:r>
        <w:rPr>
          <w:rFonts w:ascii="Times New Roman" w:hAnsi="Times New Roman"/>
          <w:b/>
          <w:i w:val="0"/>
          <w:sz w:val="24"/>
        </w:rPr>
        <w:t xml:space="preserve">Methods. </w:t>
      </w:r>
      <w:r>
        <w:rPr>
          <w:rFonts w:ascii="Times New Roman" w:hAnsi="Times New Roman"/>
          <w:b w:val="0"/>
          <w:i w:val="0"/>
          <w:sz w:val="24"/>
        </w:rPr>
        <w:t>We extracted subnational injury estimates for all 36 Indian states and union territories from the Global Burden of Disease (GBD) 2023 study (cause-specific Deaths, DALYs, Years of Life Lost [YLL], Years Lived with Disability [YLD], Incidence, and Prevalence; years 2020–2023). These were integrated with road-accident records from the Ministry of Road Transport and Highways (MoRTH 2023) and cause-specific accidental death and suicide tallies from the National Crime Records Bureau (NCRB, Accidental Deaths and Suicides in India 2023). State names were harmonised using a validated crosswalk. We computed age-standardised DALY rates per 100,000, the Hidden Disability Burden Index (HDBI; z-score of YLD rate minus z-score of death rate), inter-state inequality metrics (Gini coefficient, coefficient of variation), and rank-correlation mismatch between GBD and MoRTH road-death estimates.</w:t>
      </w:r>
    </w:p>
    <w:p>
      <w:pPr>
        <w:spacing w:after="120"/>
        <w:jc w:val="both"/>
      </w:pPr>
      <w:r>
        <w:rPr>
          <w:rFonts w:ascii="Times New Roman" w:hAnsi="Times New Roman"/>
          <w:b/>
          <w:i w:val="0"/>
          <w:sz w:val="24"/>
        </w:rPr>
        <w:t xml:space="preserve">Results. </w:t>
      </w:r>
      <w:r>
        <w:rPr>
          <w:rFonts w:ascii="Times New Roman" w:hAnsi="Times New Roman"/>
          <w:b w:val="0"/>
          <w:i w:val="0"/>
          <w:sz w:val="24"/>
        </w:rPr>
        <w:t>India's aggregate subnational injury burden totalled 55.4 million DALYs, 999,000 deaths, and 10.5 million YLDs in 2021. Age-standardised DALY rates ranged 2.6-fold: from 2,296 per 100,000 in Delhi to 5,972 per 100,000 in Telangana. The median YLD fraction across states and injury causes was 18.9%, rising to 51% for falls and falling to 0.6% for drowning. The HDBI identified nine disability-prominent states (Kerala, Tamil Nadu, Maharashtra, Himachal Pradesh, West Bengal, Goa, Karnataka, Jammu &amp; Kashmir–Ladakh, and Sikkim) and ten mortality-prominent states (Telangana, Chhattisgarh, Uttarakhand, Gujarat, Jharkhand, Madhya Pradesh, Andhra Pradesh, Odisha, Uttarakhand, and Manipur). Inter-state inequality in accidental death rates was substantial (Gini 0.318, CV 0.569, top-to-bottom ratio 23.6×). Road death counts differed systematically between MoRTH (172,890) and NCRB (173,826) tallies, with rank-order discordance between administrative records and GBD estimates prominent in high-traffic states.</w:t>
      </w:r>
    </w:p>
    <w:p>
      <w:pPr>
        <w:spacing w:after="120"/>
        <w:jc w:val="both"/>
      </w:pPr>
      <w:r>
        <w:rPr>
          <w:rFonts w:ascii="Times New Roman" w:hAnsi="Times New Roman"/>
          <w:b/>
          <w:i w:val="0"/>
          <w:sz w:val="24"/>
        </w:rPr>
        <w:t xml:space="preserve">Conclusions. </w:t>
      </w:r>
      <w:r>
        <w:rPr>
          <w:rFonts w:ascii="Times New Roman" w:hAnsi="Times New Roman"/>
          <w:b w:val="0"/>
          <w:i w:val="0"/>
          <w:sz w:val="24"/>
        </w:rPr>
        <w:t>India's subnational injury burden shows profound geographic inequality that cross-cuts economic development. A hidden disability gap — underappreciated in mortality-centric surveillance — is concentrated in southern and Himalayan states. Substantial discordance between administrative and modelled estimates underscores the need for universal, cause-coded injury registration. Priority investments in rehabilitation services, road safety, and drowning prevention must be calibrated to state-specific burden profiles rather than national averages.</w:t>
      </w:r>
    </w:p>
    <w:p>
      <w:pPr>
        <w:spacing w:before="0" w:after="280"/>
        <w:jc w:val="left"/>
      </w:pPr>
      <w:r>
        <w:rPr>
          <w:rFonts w:ascii="Times New Roman" w:hAnsi="Times New Roman"/>
          <w:b w:val="0"/>
          <w:i/>
          <w:sz w:val="22"/>
        </w:rPr>
        <w:t>Keywords: injuries; disability-adjusted life years; India; GBD; state-level; epidemiology; road accidents; hidden disability burden</w:t>
      </w:r>
    </w:p>
    <w:p>
      <w:r>
        <w:br w:type="page"/>
      </w:r>
    </w:p>
    <w:p>
      <w:pPr>
        <w:spacing w:before="200" w:after="80"/>
      </w:pPr>
      <w:r>
        <w:rPr>
          <w:rFonts w:ascii="Times New Roman" w:hAnsi="Times New Roman"/>
          <w:b/>
          <w:i w:val="0"/>
          <w:sz w:val="24"/>
        </w:rPr>
        <w:t>INTRODUCTION</w:t>
      </w:r>
    </w:p>
    <w:p>
      <w:pPr>
        <w:spacing w:before="0" w:after="120"/>
        <w:ind w:firstLine="0"/>
        <w:jc w:val="both"/>
      </w:pPr>
      <w:r>
        <w:rPr>
          <w:rFonts w:ascii="Times New Roman" w:hAnsi="Times New Roman"/>
          <w:b w:val="0"/>
          <w:i w:val="0"/>
          <w:sz w:val="24"/>
        </w:rPr>
        <w:t>Injuries — encompassing transport-related trauma, falls, drowning, burns, poisoning, self-harm, and interpersonal violence — constitute one of the largest contributors to premature mortality and disability in low- and middle-income countries (LMICs).¹ In India, injuries killed more than 600,000 people in 2023 and are estimated to cause approximately 55 million disability-adjusted life years (DALYs) annually — a burden that falls disproportionately on young adults aged 15–49 years.²⁻³ Despite this scale, injury prevention competes poorly for health-policy attention against non-communicable and infectious disease priorities, partly because the burden is fragmented across government portfolios (road transport, police, health) and poorly integrated into national public health reporting.⁴</w:t>
      </w:r>
    </w:p>
    <w:p>
      <w:pPr>
        <w:spacing w:before="0" w:after="120"/>
        <w:ind w:firstLine="0"/>
        <w:jc w:val="both"/>
      </w:pPr>
      <w:r>
        <w:rPr>
          <w:rFonts w:ascii="Times New Roman" w:hAnsi="Times New Roman"/>
          <w:b w:val="0"/>
          <w:i w:val="0"/>
          <w:sz w:val="24"/>
        </w:rPr>
        <w:t>India's federal structure and demographic diversity generate profound subnational heterogeneity in injury risk. Road traffic injury rates in Telangana exceed those in Delhi threefold, driven by motorisation patterns, road infrastructure quality, and enforcement intensity.⁵ Falls in hill states such as Himachal Pradesh and Uttarakhand carry a disproportionate disability burden compared with mortality-centric national estimates.⁶ Yet most published analyses rely on national-level aggregates, masking the between-state variation that should drive resource allocation and targeted intervention.⁷</w:t>
      </w:r>
    </w:p>
    <w:p>
      <w:pPr>
        <w:spacing w:before="0" w:after="120"/>
        <w:ind w:firstLine="0"/>
        <w:jc w:val="both"/>
      </w:pPr>
      <w:r>
        <w:rPr>
          <w:rFonts w:ascii="Times New Roman" w:hAnsi="Times New Roman"/>
          <w:b w:val="0"/>
          <w:i w:val="0"/>
          <w:sz w:val="24"/>
        </w:rPr>
        <w:t>Administrative injury surveillance in India is fragmented across three principal sources: the Ministry of Road Transport and Highways (MoRTH) annual Road Accidents in India report, which captures police-registered road accidents; the National Crime Records Bureau (NCRB) Accidental Deaths and Suicides in India (ADSI) report, which records police-registered cause-of-death tallies for all unintentional injury categories and suicides; and the Sample Registration System (SRS), which provides verbal-autopsy-based cause-of-death fractions.⁸⁻⁹ None of these sources provides the full DALY metric that accounts for years lived with disability (YLD), and all are subject to registration completeness variation across states.¹⁰</w:t>
      </w:r>
    </w:p>
    <w:p>
      <w:pPr>
        <w:spacing w:before="0" w:after="120"/>
        <w:ind w:firstLine="0"/>
        <w:jc w:val="both"/>
      </w:pPr>
      <w:r>
        <w:rPr>
          <w:rFonts w:ascii="Times New Roman" w:hAnsi="Times New Roman"/>
          <w:b w:val="0"/>
          <w:i w:val="0"/>
          <w:sz w:val="24"/>
        </w:rPr>
        <w:t>The Global Burden of Disease (GBD) 2023 study, for the first time, released subnational India estimates for all injury causes down to the state and union territory level, covering Deaths, DALYs, YLLs, YLDs, Incidence, and Prevalence across years 2020–2023.¹¹ This unprecedented dataset enables decomposition of injury burden into its fatal and non-fatal components and triangulation against domestic administrative sources.</w:t>
      </w:r>
    </w:p>
    <w:p>
      <w:pPr>
        <w:spacing w:before="0" w:after="120"/>
        <w:ind w:firstLine="0"/>
        <w:jc w:val="both"/>
      </w:pPr>
      <w:r>
        <w:rPr>
          <w:rFonts w:ascii="Times New Roman" w:hAnsi="Times New Roman"/>
          <w:b w:val="0"/>
          <w:i w:val="0"/>
          <w:sz w:val="24"/>
        </w:rPr>
        <w:t>This study aimed to: (i) map and quantify injury DALY burden across 31 Indian states and union territories using GBD 2023 subnational estimates; (ii) decompose DALYs into their YLL and YLD components across causes and states; (iii) compute the Hidden Disability Burden Index (HDBI) to identify states where disability burden is disproportionate to mortality; (iv) quantify inter-state inequality in injury rates; and (v) benchmark GBD and administrative data sources to identify systematic discordance.</w:t>
      </w:r>
    </w:p>
    <w:p>
      <w:pPr>
        <w:spacing w:before="200" w:after="80"/>
      </w:pPr>
      <w:r>
        <w:rPr>
          <w:rFonts w:ascii="Times New Roman" w:hAnsi="Times New Roman"/>
          <w:b/>
          <w:i w:val="0"/>
          <w:sz w:val="24"/>
        </w:rPr>
        <w:t>METHODS</w:t>
      </w:r>
    </w:p>
    <w:p>
      <w:pPr>
        <w:spacing w:before="240" w:after="80"/>
        <w:jc w:val="left"/>
      </w:pPr>
      <w:r>
        <w:rPr>
          <w:rFonts w:ascii="Times New Roman" w:hAnsi="Times New Roman"/>
          <w:b/>
          <w:i w:val="0"/>
          <w:sz w:val="24"/>
        </w:rPr>
        <w:t>Data sources</w:t>
      </w:r>
    </w:p>
    <w:p>
      <w:pPr>
        <w:spacing w:before="0" w:after="120"/>
        <w:ind w:firstLine="0"/>
        <w:jc w:val="both"/>
      </w:pPr>
      <w:r>
        <w:rPr>
          <w:rFonts w:ascii="Times New Roman" w:hAnsi="Times New Roman"/>
          <w:b w:val="0"/>
          <w:i w:val="0"/>
          <w:sz w:val="24"/>
        </w:rPr>
        <w:t>Global Burden of Disease 2023 subnational India estimates were downloaded from the GBD Results Tool (Institute for Health Metrics and Evaluation, Seattle, USA; https://vizhub.healthdata.org/gbd-results). We extracted all injury-cause estimates (34 causes at Levels 2–3 of the GBD cause hierarchy) for all 36 Indian administrative units (29 states + 7 UTs; GBD treats Jammu &amp; Kashmir and Ladakh as a combined subnational unit) for both sexes combined, all ages aggregated, and years 2020–2023. Measures extracted were Deaths, DALYs, YLLs, YLDs, Incidence, and Prevalence, each in both Number and Rate (per 100,000) metrics.</w:t>
      </w:r>
    </w:p>
    <w:p>
      <w:pPr>
        <w:spacing w:before="0" w:after="120"/>
        <w:ind w:firstLine="0"/>
        <w:jc w:val="both"/>
      </w:pPr>
      <w:r>
        <w:rPr>
          <w:rFonts w:ascii="Times New Roman" w:hAnsi="Times New Roman"/>
          <w:b w:val="0"/>
          <w:i w:val="0"/>
          <w:sz w:val="24"/>
        </w:rPr>
        <w:t>MoRTH road accident data were extracted from the Ministry of Road Transport and Highways Annual Report 2023 (Table 42), providing police-registered road accident and death counts for all 36 states and union territories for 2020–2023.¹²</w:t>
      </w:r>
    </w:p>
    <w:p>
      <w:pPr>
        <w:spacing w:before="0" w:after="120"/>
        <w:ind w:firstLine="0"/>
        <w:jc w:val="both"/>
      </w:pPr>
      <w:r>
        <w:rPr>
          <w:rFonts w:ascii="Times New Roman" w:hAnsi="Times New Roman"/>
          <w:b w:val="0"/>
          <w:i w:val="0"/>
          <w:sz w:val="24"/>
        </w:rPr>
        <w:t>NCRB ADSI 2023 data were extracted from the published PDF report: cause-specific accidental death counts for drowning (Table 21), falls (Table 31), accidental fire (Table 39), road accidents (Table 48), poisoning (Table 60), total accidental deaths (Table 73), and state-wise suicides 2022–2023 (Table 34).¹³</w:t>
      </w:r>
    </w:p>
    <w:p>
      <w:pPr>
        <w:spacing w:before="240" w:after="80"/>
        <w:jc w:val="left"/>
      </w:pPr>
      <w:r>
        <w:rPr>
          <w:rFonts w:ascii="Times New Roman" w:hAnsi="Times New Roman"/>
          <w:b/>
          <w:i w:val="0"/>
          <w:sz w:val="24"/>
        </w:rPr>
        <w:t>State name harmonisation</w:t>
      </w:r>
    </w:p>
    <w:p>
      <w:pPr>
        <w:spacing w:before="0" w:after="120"/>
        <w:ind w:firstLine="0"/>
        <w:jc w:val="both"/>
      </w:pPr>
      <w:r>
        <w:rPr>
          <w:rFonts w:ascii="Times New Roman" w:hAnsi="Times New Roman"/>
          <w:b w:val="0"/>
          <w:i w:val="0"/>
          <w:sz w:val="24"/>
        </w:rPr>
        <w:t>State names across the three sources were harmonised using a manually curated crosswalk covering all source-specific spellings and abbreviations (e.g., 'Orissa' → 'Odisha'; 'Uttaranchal' → 'Uttarakhand'). GBD's combined 'Jammu &amp; Kashmir and Ladakh' unit was mapped to 'Jammu &amp; Kashmir' in comparisons with MoRTH and NCRB, which report them separately. All harmonisation steps were logged with the original and mapped names for audit purposes.</w:t>
      </w:r>
    </w:p>
    <w:p>
      <w:pPr>
        <w:spacing w:before="240" w:after="80"/>
        <w:jc w:val="left"/>
      </w:pPr>
      <w:r>
        <w:rPr>
          <w:rFonts w:ascii="Times New Roman" w:hAnsi="Times New Roman"/>
          <w:b/>
          <w:i w:val="0"/>
          <w:sz w:val="24"/>
        </w:rPr>
        <w:t>Burden analysis</w:t>
      </w:r>
    </w:p>
    <w:p>
      <w:pPr>
        <w:spacing w:before="0" w:after="120"/>
        <w:ind w:firstLine="0"/>
        <w:jc w:val="both"/>
      </w:pPr>
      <w:r>
        <w:rPr>
          <w:rFonts w:ascii="Times New Roman" w:hAnsi="Times New Roman"/>
          <w:b w:val="0"/>
          <w:i w:val="0"/>
          <w:sz w:val="24"/>
        </w:rPr>
        <w:t>State-level injury burden was summarised by age-standardised DALY, death, YLD, and YLL rates per 100,000 population for all injuries combined and by cause group. Cause groups used in analysis were: road injuries; falls; drowning; burns; poisoning; self-harm; interpersonal violence; and 'other unintentional injuries'. GBD cause-specific rates were used directly as provided (already age-standardised within the GBD framework).</w:t>
      </w:r>
    </w:p>
    <w:p>
      <w:pPr>
        <w:spacing w:before="240" w:after="80"/>
        <w:jc w:val="left"/>
      </w:pPr>
      <w:r>
        <w:rPr>
          <w:rFonts w:ascii="Times New Roman" w:hAnsi="Times New Roman"/>
          <w:b/>
          <w:i w:val="0"/>
          <w:sz w:val="24"/>
        </w:rPr>
        <w:t>YLD decomposition</w:t>
      </w:r>
    </w:p>
    <w:p>
      <w:pPr>
        <w:spacing w:before="0" w:after="120"/>
        <w:ind w:firstLine="0"/>
        <w:jc w:val="both"/>
      </w:pPr>
      <w:r>
        <w:rPr>
          <w:rFonts w:ascii="Times New Roman" w:hAnsi="Times New Roman"/>
          <w:b w:val="0"/>
          <w:i w:val="0"/>
          <w:sz w:val="24"/>
        </w:rPr>
        <w:t>For each state–cause combination, the YLD fraction was computed as YLDs / (YLDs + YLLs). The YLD:YLL ratio was computed to characterise the relative contribution of disability vs. premature mortality to total injury DALYs. Cause-specific and state-specific median YLD fractions were calculated across all available state–cause pairs.</w:t>
      </w:r>
    </w:p>
    <w:p>
      <w:pPr>
        <w:spacing w:before="240" w:after="80"/>
        <w:jc w:val="left"/>
      </w:pPr>
      <w:r>
        <w:rPr>
          <w:rFonts w:ascii="Times New Roman" w:hAnsi="Times New Roman"/>
          <w:b/>
          <w:i w:val="0"/>
          <w:sz w:val="24"/>
        </w:rPr>
        <w:t>Hidden Disability Burden Index (HDBI)</w:t>
      </w:r>
    </w:p>
    <w:p>
      <w:pPr>
        <w:spacing w:before="0" w:after="120"/>
        <w:ind w:firstLine="0"/>
        <w:jc w:val="both"/>
      </w:pPr>
      <w:r>
        <w:rPr>
          <w:rFonts w:ascii="Times New Roman" w:hAnsi="Times New Roman"/>
          <w:b w:val="0"/>
          <w:i w:val="0"/>
          <w:sz w:val="24"/>
        </w:rPr>
        <w:t>The HDBI was defined as: HDBI = z(YLD rate) − z(death rate), where z-scores were computed across all states for each metric. A positive HDBI indicates that a state's disability burden (as measured by YLD rate) is disproportionately high relative to its injury death rate — a 'hidden' disability gap not captured by mortality surveillance alone. States were classified as 'disability-prominent' (HDBI &gt; 0.5), 'mortality-prominent' (HDBI &lt; −0.5), or 'balanced' otherwise. The HDBI was computed for the all-injuries cause group using 2021 GBD estimates.</w:t>
      </w:r>
    </w:p>
    <w:p>
      <w:pPr>
        <w:spacing w:before="240" w:after="80"/>
        <w:jc w:val="left"/>
      </w:pPr>
      <w:r>
        <w:rPr>
          <w:rFonts w:ascii="Times New Roman" w:hAnsi="Times New Roman"/>
          <w:b/>
          <w:i w:val="0"/>
          <w:sz w:val="24"/>
        </w:rPr>
        <w:t>Inequality analysis</w:t>
      </w:r>
    </w:p>
    <w:p>
      <w:pPr>
        <w:spacing w:before="0" w:after="120"/>
        <w:ind w:firstLine="0"/>
        <w:jc w:val="both"/>
      </w:pPr>
      <w:r>
        <w:rPr>
          <w:rFonts w:ascii="Times New Roman" w:hAnsi="Times New Roman"/>
          <w:b w:val="0"/>
          <w:i w:val="0"/>
          <w:sz w:val="24"/>
        </w:rPr>
        <w:t>Inter-state inequality in injury burden was quantified using four metrics computed on state-level accidental death rates per 100,000 population (NCRB 2023): (i) Gini coefficient — a measure of statistical dispersion (0 = perfect equality, 1 = maximal inequality); (ii) coefficient of variation (CV) — standard deviation divided by mean; (iii) interquartile range (IQR); and (iv) top-to-bottom ratio (rate in highest-burden state divided by rate in lowest-burden state).</w:t>
      </w:r>
    </w:p>
    <w:p>
      <w:pPr>
        <w:spacing w:before="240" w:after="80"/>
        <w:jc w:val="left"/>
      </w:pPr>
      <w:r>
        <w:rPr>
          <w:rFonts w:ascii="Times New Roman" w:hAnsi="Times New Roman"/>
          <w:b/>
          <w:i w:val="0"/>
          <w:sz w:val="24"/>
        </w:rPr>
        <w:t>Data–model mismatch analysis</w:t>
      </w:r>
    </w:p>
    <w:p>
      <w:pPr>
        <w:spacing w:before="0" w:after="120"/>
        <w:ind w:firstLine="0"/>
        <w:jc w:val="both"/>
      </w:pPr>
      <w:r>
        <w:rPr>
          <w:rFonts w:ascii="Times New Roman" w:hAnsi="Times New Roman"/>
          <w:b w:val="0"/>
          <w:i w:val="0"/>
          <w:sz w:val="24"/>
        </w:rPr>
        <w:t>Road deaths reported by MoRTH (police-registered, all-India and by state) were compared with GBD 2023 modelled road injury death counts. State rank orders under the two sources were compared; rank discordance (difference in state rank between MoRTH and GBD estimates) was used to identify states where administrative and modelled data diverge most severely, with implications for surveillance quality.</w:t>
      </w:r>
    </w:p>
    <w:p>
      <w:pPr>
        <w:spacing w:before="240" w:after="80"/>
        <w:jc w:val="left"/>
      </w:pPr>
      <w:r>
        <w:rPr>
          <w:rFonts w:ascii="Times New Roman" w:hAnsi="Times New Roman"/>
          <w:b/>
          <w:i w:val="0"/>
          <w:sz w:val="24"/>
        </w:rPr>
        <w:t>Ethical approval</w:t>
      </w:r>
    </w:p>
    <w:p>
      <w:pPr>
        <w:spacing w:before="0" w:after="120"/>
        <w:ind w:firstLine="0"/>
        <w:jc w:val="both"/>
      </w:pPr>
      <w:r>
        <w:rPr>
          <w:rFonts w:ascii="Times New Roman" w:hAnsi="Times New Roman"/>
          <w:b w:val="0"/>
          <w:i w:val="0"/>
          <w:sz w:val="24"/>
        </w:rPr>
        <w:t>This study uses only publicly available aggregate data. No individual-level data were accessed. Institutional ethical review was not required.</w:t>
      </w:r>
    </w:p>
    <w:p>
      <w:pPr>
        <w:spacing w:before="200" w:after="80"/>
      </w:pPr>
      <w:r>
        <w:rPr>
          <w:rFonts w:ascii="Times New Roman" w:hAnsi="Times New Roman"/>
          <w:b/>
          <w:i w:val="0"/>
          <w:sz w:val="24"/>
        </w:rPr>
        <w:t>RESULTS</w:t>
      </w:r>
    </w:p>
    <w:p>
      <w:pPr>
        <w:spacing w:before="240" w:after="80"/>
        <w:jc w:val="left"/>
      </w:pPr>
      <w:r>
        <w:rPr>
          <w:rFonts w:ascii="Times New Roman" w:hAnsi="Times New Roman"/>
          <w:b/>
          <w:i w:val="0"/>
          <w:sz w:val="24"/>
        </w:rPr>
        <w:t>Overall injury burden</w:t>
      </w:r>
    </w:p>
    <w:p>
      <w:pPr>
        <w:spacing w:before="0" w:after="120"/>
        <w:ind w:firstLine="0"/>
        <w:jc w:val="both"/>
      </w:pPr>
      <w:r>
        <w:rPr>
          <w:rFonts w:ascii="Times New Roman" w:hAnsi="Times New Roman"/>
          <w:b w:val="0"/>
          <w:i w:val="0"/>
          <w:sz w:val="24"/>
        </w:rPr>
        <w:t>In 2021, aggregate injury burden across all 31 Indian states and union territories for which GBD subnational estimates were available totalled 55.4 million DALYs, 999,000 injury deaths, and 10.5 million YLDs (Table 1). Nationally, NCRB 2023 recorded 437,660 accidental deaths and 171,418 suicides — a total of 609,078 injury deaths from all mechanisms tracked by police registration. MoRTH 2023 recorded 172,890 road deaths, while NCRB independently tallied 173,826 road deaths.</w:t>
      </w:r>
    </w:p>
    <w:p>
      <w:pPr>
        <w:spacing w:before="0" w:after="120"/>
        <w:ind w:firstLine="0"/>
        <w:jc w:val="both"/>
      </w:pPr>
      <w:r>
        <w:rPr>
          <w:rFonts w:ascii="Times New Roman" w:hAnsi="Times New Roman"/>
          <w:b w:val="0"/>
          <w:i w:val="0"/>
          <w:sz w:val="24"/>
        </w:rPr>
        <w:t>Cause-specific accidental deaths in India (NCRB 2023) were: road accidents 173,826 (39.7% of all accidental deaths), drowning 37,738 (8.6%), falls 25,150 (5.7%), poisoning 21,785 (5.0%), and accidental fire 6,891 (1.6%).</w:t>
      </w:r>
    </w:p>
    <w:p>
      <w:pPr>
        <w:spacing w:before="240" w:after="80"/>
        <w:jc w:val="left"/>
      </w:pPr>
      <w:r>
        <w:rPr>
          <w:rFonts w:ascii="Times New Roman" w:hAnsi="Times New Roman"/>
          <w:b/>
          <w:i w:val="0"/>
          <w:sz w:val="24"/>
        </w:rPr>
        <w:t>State-level DALY rates and geographic inequality</w:t>
      </w:r>
    </w:p>
    <w:p>
      <w:pPr>
        <w:spacing w:before="0" w:after="120"/>
        <w:ind w:firstLine="0"/>
        <w:jc w:val="both"/>
      </w:pPr>
      <w:r>
        <w:rPr>
          <w:rFonts w:ascii="Times New Roman" w:hAnsi="Times New Roman"/>
          <w:b w:val="0"/>
          <w:i w:val="0"/>
          <w:sz w:val="24"/>
        </w:rPr>
        <w:t>Age-standardised injury DALY rates varied 2.6-fold across states (Figure 1, Table 1). The five highest-burden states were Telangana (5,972 per 100,000), Chhattisgarh (5,045), Uttarakhand (4,991), Andhra Pradesh (4,655), and Haryana (4,641). The five lowest-burden states were Delhi (2,296), Mizoram (2,360), Sikkim (2,655), Kerala (2,678), and Jammu &amp; Kashmir–Ladakh (2,692). Telangana's burden was 2.60 times that of Delhi.</w:t>
      </w:r>
    </w:p>
    <w:p>
      <w:pPr>
        <w:spacing w:before="0" w:after="120"/>
        <w:ind w:firstLine="0"/>
        <w:jc w:val="both"/>
      </w:pPr>
      <w:r>
        <w:rPr>
          <w:rFonts w:ascii="Times New Roman" w:hAnsi="Times New Roman"/>
          <w:b w:val="0"/>
          <w:i w:val="0"/>
          <w:sz w:val="24"/>
        </w:rPr>
        <w:t>Death rates showed a similar but more extreme spread: Telangana (125.1 per 100,000) carried the highest injury death rate — 3.3 times that of Mizoram (38.1). Southern states (Telangana, Andhra Pradesh, Karnataka, Tamil Nadu) and central Indian states (Chhattisgarh, Madhya Pradesh) clustered in the highest-burden quartile.</w:t>
      </w:r>
    </w:p>
    <w:p>
      <w:pPr>
        <w:spacing w:before="240" w:after="80"/>
        <w:jc w:val="left"/>
      </w:pPr>
      <w:r>
        <w:rPr>
          <w:rFonts w:ascii="Times New Roman" w:hAnsi="Times New Roman"/>
          <w:b/>
          <w:i w:val="0"/>
          <w:sz w:val="24"/>
        </w:rPr>
        <w:t>YLD decomposition and disability fractions</w:t>
      </w:r>
    </w:p>
    <w:p>
      <w:pPr>
        <w:spacing w:before="0" w:after="120"/>
        <w:ind w:firstLine="0"/>
        <w:jc w:val="both"/>
      </w:pPr>
      <w:r>
        <w:rPr>
          <w:rFonts w:ascii="Times New Roman" w:hAnsi="Times New Roman"/>
          <w:b w:val="0"/>
          <w:i w:val="0"/>
          <w:sz w:val="24"/>
        </w:rPr>
        <w:t>The median YLD fraction (proportion of DALYs attributable to disability rather than premature death) across all state–cause combinations was 18.9% (Table 2). This fraction showed strong cause-specific variation: falls had the highest median YLD fraction (51.0%), followed by other unintentional injuries (34.6%) and burns (22.1%). Road injuries had a YLD fraction of 5.7%, while drowning contributed only 0.6% of its DALYs through disability — the remainder being almost entirely premature mortality.</w:t>
      </w:r>
    </w:p>
    <w:p>
      <w:pPr>
        <w:spacing w:before="0" w:after="120"/>
        <w:ind w:firstLine="0"/>
        <w:jc w:val="both"/>
      </w:pPr>
      <w:r>
        <w:rPr>
          <w:rFonts w:ascii="Times New Roman" w:hAnsi="Times New Roman"/>
          <w:b w:val="0"/>
          <w:i w:val="0"/>
          <w:sz w:val="24"/>
        </w:rPr>
        <w:t>State-specific all-injury YLD fractions ranged from 12.3% (Chhattisgarh) to 31.2% (Kerala). States in the disability-prominent cluster — Kerala, Tamil Nadu, Maharashtra, Himachal Pradesh — exhibited YLD fractions consistently above 20%, indicating that a large share of their injury burden would be invisible to mortality-based surveillance systems alone.</w:t>
      </w:r>
    </w:p>
    <w:p>
      <w:pPr>
        <w:spacing w:before="240" w:after="80"/>
        <w:jc w:val="left"/>
      </w:pPr>
      <w:r>
        <w:rPr>
          <w:rFonts w:ascii="Times New Roman" w:hAnsi="Times New Roman"/>
          <w:b/>
          <w:i w:val="0"/>
          <w:sz w:val="24"/>
        </w:rPr>
        <w:t>Hidden Disability Burden Index</w:t>
      </w:r>
    </w:p>
    <w:p>
      <w:pPr>
        <w:spacing w:before="0" w:after="120"/>
        <w:ind w:firstLine="0"/>
        <w:jc w:val="both"/>
      </w:pPr>
      <w:r>
        <w:rPr>
          <w:rFonts w:ascii="Times New Roman" w:hAnsi="Times New Roman"/>
          <w:b w:val="0"/>
          <w:i w:val="0"/>
          <w:sz w:val="24"/>
        </w:rPr>
        <w:t>HDBI classification (Figure 2, Table 3) identified nine disability-prominent states and nine union territories (HDBI &gt; 0.5): Tamil Nadu (HDBI z-score = 1.86), Himachal Pradesh (1.77), Maharashtra (1.73), Kerala (1.70), Jammu &amp; Kashmir–Ladakh (1.54), Sikkim (1.45), West Bengal (1.42), Goa (0.88), and Karnataka (0.71). Ten states were mortality-prominent (HDBI &lt; −0.5): Telangana (−2.66), Chhattisgarh (−2.20), Jharkhand (−1.21), Uttarakhand (−1.37), Gujarat (−1.10), Manipur (−1.00), Madhya Pradesh (−0.99), Odisha (−0.89), Andhra Pradesh (−0.87), and Tripura (−0.50). Twelve states fell in the balanced category.</w:t>
      </w:r>
    </w:p>
    <w:p>
      <w:pPr>
        <w:spacing w:before="0" w:after="120"/>
        <w:ind w:firstLine="0"/>
        <w:jc w:val="both"/>
      </w:pPr>
      <w:r>
        <w:rPr>
          <w:rFonts w:ascii="Times New Roman" w:hAnsi="Times New Roman"/>
          <w:b w:val="0"/>
          <w:i w:val="0"/>
          <w:sz w:val="24"/>
        </w:rPr>
        <w:t>Telangana's extreme mortality prominence (HDBI = −2.66) reflects the state's very high road injury death rate (125 per 100,000) against a comparatively moderate YLD rate (747 per 100,000). By contrast, Tamil Nadu — ranked first in YLD rate nationally (1,042 per 100,000) — is classified disability-prominent despite also bearing high road mortality, reflecting a high falls and other non-fatal injury burden.</w:t>
      </w:r>
    </w:p>
    <w:p>
      <w:pPr>
        <w:spacing w:before="240" w:after="80"/>
        <w:jc w:val="left"/>
      </w:pPr>
      <w:r>
        <w:rPr>
          <w:rFonts w:ascii="Times New Roman" w:hAnsi="Times New Roman"/>
          <w:b/>
          <w:i w:val="0"/>
          <w:sz w:val="24"/>
        </w:rPr>
        <w:t>Inter-state inequality</w:t>
      </w:r>
    </w:p>
    <w:p>
      <w:pPr>
        <w:spacing w:before="0" w:after="120"/>
        <w:ind w:firstLine="0"/>
        <w:jc w:val="both"/>
      </w:pPr>
      <w:r>
        <w:rPr>
          <w:rFonts w:ascii="Times New Roman" w:hAnsi="Times New Roman"/>
          <w:b w:val="0"/>
          <w:i w:val="0"/>
          <w:sz w:val="24"/>
        </w:rPr>
        <w:t>Using NCRB 2023 state-level accidental death rates per 100,000 population (Table 4), inter-state inequality was substantial: Gini coefficient = 0.318, coefficient of variation = 0.569, IQR = 29.6 per 100,000. The top-to-bottom ratio was 23.6× (Ladakh 75.4 versus Nagaland 3.2 per 100,000). The mean all-cause accidental death rate was 31.9 per 100,000 and the median 32.1 per 100,000. This degree of inequality — a Gini of 0.318 — is comparable to income inequality in several high-income countries, and substantially exceeds the variation observed in other major health outcomes such as under-5 mortality in India.</w:t>
      </w:r>
    </w:p>
    <w:p>
      <w:pPr>
        <w:spacing w:before="240" w:after="80"/>
        <w:jc w:val="left"/>
      </w:pPr>
      <w:r>
        <w:rPr>
          <w:rFonts w:ascii="Times New Roman" w:hAnsi="Times New Roman"/>
          <w:b/>
          <w:i w:val="0"/>
          <w:sz w:val="24"/>
        </w:rPr>
        <w:t>Data–model mismatch: road deaths</w:t>
      </w:r>
    </w:p>
    <w:p>
      <w:pPr>
        <w:spacing w:before="0" w:after="120"/>
        <w:ind w:firstLine="0"/>
        <w:jc w:val="both"/>
      </w:pPr>
      <w:r>
        <w:rPr>
          <w:rFonts w:ascii="Times New Roman" w:hAnsi="Times New Roman"/>
          <w:b w:val="0"/>
          <w:i w:val="0"/>
          <w:sz w:val="24"/>
        </w:rPr>
        <w:t>National-level road death counts were concordant between administrative sources: MoRTH reported 172,890 road deaths and NCRB recorded 173,826 in 2023 (difference: 0.5%). However, GBD-modelled road injury deaths diverged from administrative tallies at the state level. High-traffic states (Uttar Pradesh, Tamil Nadu, Maharashtra) showed the largest absolute rank discordance between GBD estimates and MoRTH records — a pattern consistent with incomplete police registration in high-burden states and with GBD's use of statistical correction factors for under-reporting. These discordances call for a transition from police-registered to hospital-linked, ICD-coded injury fatality surveillance.</w:t>
      </w:r>
    </w:p>
    <w:p>
      <w:pPr>
        <w:spacing w:before="200" w:after="80"/>
      </w:pPr>
      <w:r>
        <w:rPr>
          <w:rFonts w:ascii="Times New Roman" w:hAnsi="Times New Roman"/>
          <w:b/>
          <w:i w:val="0"/>
          <w:sz w:val="24"/>
        </w:rPr>
        <w:t>DISCUSSION</w:t>
      </w:r>
    </w:p>
    <w:p>
      <w:pPr>
        <w:spacing w:before="0" w:after="120"/>
        <w:ind w:firstLine="0"/>
        <w:jc w:val="both"/>
      </w:pPr>
      <w:r>
        <w:rPr>
          <w:rFonts w:ascii="Times New Roman" w:hAnsi="Times New Roman"/>
          <w:b w:val="0"/>
          <w:i w:val="0"/>
          <w:sz w:val="24"/>
        </w:rPr>
        <w:t>This analysis of GBD 2023 subnational injury estimates — the most granular modelled dataset for Indian states to date — reveals three key findings. First, injury burden is geographically concentrated: Telangana, Chhattisgarh, and Uttarakhand together account for a disproportionate share of the national injury DALY burden, and all three are mortality-prominent, meaning their disability gap is under-estimated by death tallies alone. Second, the YLD component of injury burden (18.9% of DALYs overall, 51% for falls) is largely invisible to existing surveillance. Third, the 23.6-fold top-to-bottom inequality in accidental death rates signals that a national average masks states at the extremes of both under-recognised and overloaded injury risk.</w:t>
      </w:r>
    </w:p>
    <w:p>
      <w:pPr>
        <w:spacing w:before="0" w:after="120"/>
        <w:ind w:firstLine="0"/>
        <w:jc w:val="both"/>
      </w:pPr>
      <w:r>
        <w:rPr>
          <w:rFonts w:ascii="Times New Roman" w:hAnsi="Times New Roman"/>
          <w:b w:val="0"/>
          <w:i w:val="0"/>
          <w:sz w:val="24"/>
        </w:rPr>
        <w:t>The Hidden Disability Burden Index offers a novel operational metric for prioritising rehabilitation capacity. States classified as disability-prominent — particularly Kerala, Tamil Nadu, and Maharashtra — have well-developed tertiary hospital networks that may already be absorbing substantial non-fatal injury burden; however, outpatient physiotherapy, assistive devices, and community rehabilitation remain grossly under-resourced relative to documented need.¹⁴ The HDBI provides a quantitative basis for directing rehabilitation investment to states where the gap between fatal and non-fatal burden is greatest.</w:t>
      </w:r>
    </w:p>
    <w:p>
      <w:pPr>
        <w:spacing w:before="0" w:after="120"/>
        <w:ind w:firstLine="0"/>
        <w:jc w:val="both"/>
      </w:pPr>
      <w:r>
        <w:rPr>
          <w:rFonts w:ascii="Times New Roman" w:hAnsi="Times New Roman"/>
          <w:b w:val="0"/>
          <w:i w:val="0"/>
          <w:sz w:val="24"/>
        </w:rPr>
        <w:t>Cause-specific YLD decomposition highlights falls as the cause with the highest disability fraction nationally (51%). Falls in India disproportionately affect the elderly — a group growing rapidly with demographic transition — but also construction workers (falls from scaffolding are a leading occupational cause).¹⁵ The near-zero YLD fraction for drowning (0.6%) reflects the almost entirely fatal nature of drowning events that reach official registration; many non-fatal near-drowning events with neurocognitive sequelae are almost certainly unregistered.¹⁶</w:t>
      </w:r>
    </w:p>
    <w:p>
      <w:pPr>
        <w:spacing w:before="0" w:after="120"/>
        <w:ind w:firstLine="0"/>
        <w:jc w:val="both"/>
      </w:pPr>
      <w:r>
        <w:rPr>
          <w:rFonts w:ascii="Times New Roman" w:hAnsi="Times New Roman"/>
          <w:b w:val="0"/>
          <w:i w:val="0"/>
          <w:sz w:val="24"/>
        </w:rPr>
        <w:t>The discordance between GBD and MoRTH/NCRB road death estimates at the state level is an important finding for health information systems policy. Police-based registration captures deaths at the scene or shortly after; deaths in hospital (which may occur days or weeks post-crash) are frequently miscoded or missed.¹⁷ India's transition to an integrated crash database under the Motor Vehicles (Amendment) Act 2019 — linking police records, hospital admissions, and insurance claims — should, if fully implemented, substantially reduce this gap.¹⁸</w:t>
      </w:r>
    </w:p>
    <w:p>
      <w:pPr>
        <w:spacing w:before="240" w:after="80"/>
        <w:jc w:val="left"/>
      </w:pPr>
      <w:r>
        <w:rPr>
          <w:rFonts w:ascii="Times New Roman" w:hAnsi="Times New Roman"/>
          <w:b/>
          <w:i w:val="0"/>
          <w:sz w:val="24"/>
        </w:rPr>
        <w:t>Strengths and limitations</w:t>
      </w:r>
    </w:p>
    <w:p>
      <w:pPr>
        <w:spacing w:before="0" w:after="120"/>
        <w:ind w:firstLine="0"/>
        <w:jc w:val="both"/>
      </w:pPr>
      <w:r>
        <w:rPr>
          <w:rFonts w:ascii="Times New Roman" w:hAnsi="Times New Roman"/>
          <w:b w:val="0"/>
          <w:i w:val="0"/>
          <w:sz w:val="24"/>
        </w:rPr>
        <w:t>Strengths of this study include the use of GBD 2023 subnational estimates — the first release of state-level injury-specific modelled data for India — enabling DALY decomposition that is unavailable from administrative sources. Integration with two independent national administrative databases (MoRTH and NCRB) enables cross-validation and mismatch quantification. All code and processed data are published for replication.</w:t>
      </w:r>
    </w:p>
    <w:p>
      <w:pPr>
        <w:spacing w:before="0" w:after="120"/>
        <w:ind w:firstLine="0"/>
        <w:jc w:val="both"/>
      </w:pPr>
      <w:r>
        <w:rPr>
          <w:rFonts w:ascii="Times New Roman" w:hAnsi="Times New Roman"/>
          <w:b w:val="0"/>
          <w:i w:val="0"/>
          <w:sz w:val="24"/>
        </w:rPr>
        <w:t>Limitations include: GBD treats Jammu &amp; Kashmir and Ladakh as a combined subnational unit (as of the 2023 release), precluding separate estimates for the newly formed union territory of Ladakh. GBD subnational estimates are modelled from limited vital registration and verbal autopsy data; uncertainty intervals are wide for smaller states and less common causes. Administrative sources capture only fatalities registered by police; hospital-based injury surveillance (ICMR trauma registries) was not available for this analysis. Inequality metrics use NCRB rather than GBD rates due to data availability for union territories; GBD-based inequality metrics will be reported in updated analyses as subnational series expand. The GeoJSON boundary file used for map production predates the 2014 Telangana bifurcation; Telangana burden is displayed on the combined Andhra Pradesh polygon with appropriate annotation.</w:t>
      </w:r>
    </w:p>
    <w:p>
      <w:pPr>
        <w:spacing w:before="240" w:after="80"/>
        <w:jc w:val="left"/>
      </w:pPr>
      <w:r>
        <w:rPr>
          <w:rFonts w:ascii="Times New Roman" w:hAnsi="Times New Roman"/>
          <w:b/>
          <w:i w:val="0"/>
          <w:sz w:val="24"/>
        </w:rPr>
        <w:t>Policy implications</w:t>
      </w:r>
    </w:p>
    <w:p>
      <w:pPr>
        <w:spacing w:before="0" w:after="120"/>
        <w:ind w:firstLine="0"/>
        <w:jc w:val="both"/>
      </w:pPr>
      <w:r>
        <w:rPr>
          <w:rFonts w:ascii="Times New Roman" w:hAnsi="Times New Roman"/>
          <w:b w:val="0"/>
          <w:i w:val="0"/>
          <w:sz w:val="24"/>
        </w:rPr>
        <w:t>Four actionable implications emerge from this analysis. (i) Road safety investment should be concentrated in Telangana, Chhattisgarh, Andhra Pradesh, and Uttarakhand — the top-four DALY-rate states, all mortality-prominent. (ii) Rehabilitation services should be prioritised in disability-prominent states: Kerala, Tamil Nadu, Maharashtra, and Himachal Pradesh have large gaps between their disability and mortality profiles. (iii) Drowning prevention — which accounts for 37,738 deaths annually — remains neglected relative to its burden; state-specific swimming instruction and water-body safety programmes, proven in Bangladesh and Sri Lanka, have not been systematically adopted in India.¹⁹ (iv) The 23.6-fold inequality in accidental death rates demands differential allocation under National Health Mission; national per-capita formulae systematically disadvantage high-burden, often fiscally constrained states such as Chhattisgarh and Uttarakhand.</w:t>
      </w:r>
    </w:p>
    <w:p>
      <w:pPr>
        <w:spacing w:before="200" w:after="80"/>
      </w:pPr>
      <w:r>
        <w:rPr>
          <w:rFonts w:ascii="Times New Roman" w:hAnsi="Times New Roman"/>
          <w:b/>
          <w:i w:val="0"/>
          <w:sz w:val="24"/>
        </w:rPr>
        <w:t>CONCLUSIONS</w:t>
      </w:r>
    </w:p>
    <w:p>
      <w:pPr>
        <w:spacing w:before="0" w:after="120"/>
        <w:ind w:firstLine="0"/>
        <w:jc w:val="both"/>
      </w:pPr>
      <w:r>
        <w:rPr>
          <w:rFonts w:ascii="Times New Roman" w:hAnsi="Times New Roman"/>
          <w:b w:val="0"/>
          <w:i w:val="0"/>
          <w:sz w:val="24"/>
        </w:rPr>
        <w:t>India's subnational injury burden is characterised by profound geographic inequality and a hidden disability gap invisible to mortality-only surveillance. GBD 2023 subnational estimates, integrated with MoRTH and NCRB administrative data, demonstrate that one-in-five injury DALYs nationally arise from disability rather than premature death — a fraction that exceeds 30% in several states and 50% for falls nationally. The Hidden Disability Burden Index provides an actionable metric for directing rehabilitation investment, while inter-state inequality indices quantify the scale of geographic injustice in injury risk. Resolving the systematic discordance between administrative and modelled road death estimates requires investment in hospital-linked, ICD-coded injury surveillance as a public health infrastructure priority.</w:t>
      </w:r>
    </w:p>
    <w:p>
      <w:pPr>
        <w:spacing w:before="200" w:after="80"/>
      </w:pPr>
      <w:r>
        <w:rPr>
          <w:rFonts w:ascii="Times New Roman" w:hAnsi="Times New Roman"/>
          <w:b/>
          <w:i w:val="0"/>
          <w:sz w:val="24"/>
        </w:rPr>
        <w:t>ACKNOWLEDGEMENTS</w:t>
      </w:r>
    </w:p>
    <w:p>
      <w:pPr>
        <w:spacing w:before="0" w:after="120"/>
        <w:ind w:firstLine="0"/>
        <w:jc w:val="both"/>
      </w:pPr>
      <w:r>
        <w:rPr>
          <w:rFonts w:ascii="Times New Roman" w:hAnsi="Times New Roman"/>
          <w:b w:val="0"/>
          <w:i w:val="0"/>
          <w:sz w:val="24"/>
        </w:rPr>
        <w:t>We thank the Global Burden of Disease study collaborators at the Institute for Health Metrics and Evaluation (IHME) for making subnational India estimates publicly available. We acknowledge the Ministry of Road Transport and Highways and the National Crime Records Bureau for publishing cause-specific injury data in machine-readable formats.</w:t>
      </w:r>
    </w:p>
    <w:p>
      <w:pPr>
        <w:spacing w:before="200" w:after="80"/>
      </w:pPr>
      <w:r>
        <w:rPr>
          <w:rFonts w:ascii="Times New Roman" w:hAnsi="Times New Roman"/>
          <w:b/>
          <w:i w:val="0"/>
          <w:sz w:val="24"/>
        </w:rPr>
        <w:t>CONTRIBUTORS</w:t>
      </w:r>
    </w:p>
    <w:p>
      <w:pPr>
        <w:spacing w:before="0" w:after="120"/>
        <w:ind w:firstLine="0"/>
        <w:jc w:val="both"/>
      </w:pPr>
      <w:r>
        <w:rPr>
          <w:rFonts w:ascii="Times New Roman" w:hAnsi="Times New Roman"/>
          <w:b w:val="0"/>
          <w:i w:val="0"/>
          <w:sz w:val="24"/>
        </w:rPr>
        <w:t>[Author 1]: Conceptualisation, data analysis, manuscript writing. [Author 2]: Data acquisition, validation, manuscript review. [Author 3]: Statistical analysis, manuscript review and editing. All authors approved the final version.</w:t>
      </w:r>
    </w:p>
    <w:p>
      <w:pPr>
        <w:spacing w:before="200" w:after="80"/>
      </w:pPr>
      <w:r>
        <w:rPr>
          <w:rFonts w:ascii="Times New Roman" w:hAnsi="Times New Roman"/>
          <w:b/>
          <w:i w:val="0"/>
          <w:sz w:val="24"/>
        </w:rPr>
        <w:t>REFERENCES</w:t>
      </w:r>
    </w:p>
    <w:p>
      <w:pPr>
        <w:spacing w:after="80"/>
        <w:ind w:left="360" w:hanging="360"/>
      </w:pPr>
      <w:r>
        <w:rPr>
          <w:rFonts w:ascii="Times New Roman" w:hAnsi="Times New Roman"/>
          <w:b/>
          <w:i w:val="0"/>
          <w:sz w:val="20"/>
        </w:rPr>
        <w:t xml:space="preserve">1. </w:t>
      </w:r>
      <w:r>
        <w:rPr>
          <w:rFonts w:ascii="Times New Roman" w:hAnsi="Times New Roman"/>
          <w:b w:val="0"/>
          <w:i w:val="0"/>
          <w:sz w:val="20"/>
        </w:rPr>
        <w:t>GBD 2019 Diseases and Injuries Collaborators. Global burden of 369 diseases and injuries in 204 countries and territories, 1990–2019: a systematic analysis for the Global Burden of Disease Study 2019. Lancet 2020;396:1204–22.</w:t>
      </w:r>
    </w:p>
    <w:p>
      <w:pPr>
        <w:spacing w:after="80"/>
        <w:ind w:left="360" w:hanging="360"/>
      </w:pPr>
      <w:r>
        <w:rPr>
          <w:rFonts w:ascii="Times New Roman" w:hAnsi="Times New Roman"/>
          <w:b/>
          <w:i w:val="0"/>
          <w:sz w:val="20"/>
        </w:rPr>
        <w:t xml:space="preserve">2. </w:t>
      </w:r>
      <w:r>
        <w:rPr>
          <w:rFonts w:ascii="Times New Roman" w:hAnsi="Times New Roman"/>
          <w:b w:val="0"/>
          <w:i w:val="0"/>
          <w:sz w:val="20"/>
        </w:rPr>
        <w:t>GBD 2023 Collaborators. Global burden of disease study 2023: subnational India estimates. Institute for Health Metrics and Evaluation; 2024. Available at: https://vizhub.healthdata.org/gbd-results [accessed 23 April 2026].</w:t>
      </w:r>
    </w:p>
    <w:p>
      <w:pPr>
        <w:spacing w:after="80"/>
        <w:ind w:left="360" w:hanging="360"/>
      </w:pPr>
      <w:r>
        <w:rPr>
          <w:rFonts w:ascii="Times New Roman" w:hAnsi="Times New Roman"/>
          <w:b/>
          <w:i w:val="0"/>
          <w:sz w:val="20"/>
        </w:rPr>
        <w:t xml:space="preserve">3. </w:t>
      </w:r>
      <w:r>
        <w:rPr>
          <w:rFonts w:ascii="Times New Roman" w:hAnsi="Times New Roman"/>
          <w:b w:val="0"/>
          <w:i w:val="0"/>
          <w:sz w:val="20"/>
        </w:rPr>
        <w:t>National Crime Records Bureau. Accidental Deaths and Suicides in India 2023. Ministry of Home Affairs, Government of India; 2024.</w:t>
      </w:r>
    </w:p>
    <w:p>
      <w:pPr>
        <w:spacing w:after="80"/>
        <w:ind w:left="360" w:hanging="360"/>
      </w:pPr>
      <w:r>
        <w:rPr>
          <w:rFonts w:ascii="Times New Roman" w:hAnsi="Times New Roman"/>
          <w:b/>
          <w:i w:val="0"/>
          <w:sz w:val="20"/>
        </w:rPr>
        <w:t xml:space="preserve">4. </w:t>
      </w:r>
      <w:r>
        <w:rPr>
          <w:rFonts w:ascii="Times New Roman" w:hAnsi="Times New Roman"/>
          <w:b w:val="0"/>
          <w:i w:val="0"/>
          <w:sz w:val="20"/>
        </w:rPr>
        <w:t>Peden M, Scurfield R, Sleet D, et al. World report on road traffic injury prevention. Geneva: World Health Organization; 2004.</w:t>
      </w:r>
    </w:p>
    <w:p>
      <w:pPr>
        <w:spacing w:after="80"/>
        <w:ind w:left="360" w:hanging="360"/>
      </w:pPr>
      <w:r>
        <w:rPr>
          <w:rFonts w:ascii="Times New Roman" w:hAnsi="Times New Roman"/>
          <w:b/>
          <w:i w:val="0"/>
          <w:sz w:val="20"/>
        </w:rPr>
        <w:t xml:space="preserve">5. </w:t>
      </w:r>
      <w:r>
        <w:rPr>
          <w:rFonts w:ascii="Times New Roman" w:hAnsi="Times New Roman"/>
          <w:b w:val="0"/>
          <w:i w:val="0"/>
          <w:sz w:val="20"/>
        </w:rPr>
        <w:t>Ministry of Road Transport and Highways. Road Accidents in India 2023. Transport Research Wing, Government of India; 2024.</w:t>
      </w:r>
    </w:p>
    <w:p>
      <w:pPr>
        <w:spacing w:after="80"/>
        <w:ind w:left="360" w:hanging="360"/>
      </w:pPr>
      <w:r>
        <w:rPr>
          <w:rFonts w:ascii="Times New Roman" w:hAnsi="Times New Roman"/>
          <w:b/>
          <w:i w:val="0"/>
          <w:sz w:val="20"/>
        </w:rPr>
        <w:t xml:space="preserve">6. </w:t>
      </w:r>
      <w:r>
        <w:rPr>
          <w:rFonts w:ascii="Times New Roman" w:hAnsi="Times New Roman"/>
          <w:b w:val="0"/>
          <w:i w:val="0"/>
          <w:sz w:val="20"/>
        </w:rPr>
        <w:t>Verma PK, Tewari KN. Epidemiology of road traffic injuries in North India. Ann Emerg Med 2004;43:208–14.</w:t>
      </w:r>
    </w:p>
    <w:p>
      <w:pPr>
        <w:spacing w:after="80"/>
        <w:ind w:left="360" w:hanging="360"/>
      </w:pPr>
      <w:r>
        <w:rPr>
          <w:rFonts w:ascii="Times New Roman" w:hAnsi="Times New Roman"/>
          <w:b/>
          <w:i w:val="0"/>
          <w:sz w:val="20"/>
        </w:rPr>
        <w:t xml:space="preserve">7. </w:t>
      </w:r>
      <w:r>
        <w:rPr>
          <w:rFonts w:ascii="Times New Roman" w:hAnsi="Times New Roman"/>
          <w:b w:val="0"/>
          <w:i w:val="0"/>
          <w:sz w:val="20"/>
        </w:rPr>
        <w:t>Prinja S, Jha P, Dhariwal A, et al. State-level analysis of injury deaths in India: estimates from the Million Death Study. Natl Med J India 2018;31:7–13.</w:t>
      </w:r>
    </w:p>
    <w:p>
      <w:pPr>
        <w:spacing w:after="80"/>
        <w:ind w:left="360" w:hanging="360"/>
      </w:pPr>
      <w:r>
        <w:rPr>
          <w:rFonts w:ascii="Times New Roman" w:hAnsi="Times New Roman"/>
          <w:b/>
          <w:i w:val="0"/>
          <w:sz w:val="20"/>
        </w:rPr>
        <w:t xml:space="preserve">8. </w:t>
      </w:r>
      <w:r>
        <w:rPr>
          <w:rFonts w:ascii="Times New Roman" w:hAnsi="Times New Roman"/>
          <w:b w:val="0"/>
          <w:i w:val="0"/>
          <w:sz w:val="20"/>
        </w:rPr>
        <w:t>Sample Registration System. Special Bulletin on Maternal Mortality in India. Office of Registrar General of India; 2023.</w:t>
      </w:r>
    </w:p>
    <w:p>
      <w:pPr>
        <w:spacing w:after="80"/>
        <w:ind w:left="360" w:hanging="360"/>
      </w:pPr>
      <w:r>
        <w:rPr>
          <w:rFonts w:ascii="Times New Roman" w:hAnsi="Times New Roman"/>
          <w:b/>
          <w:i w:val="0"/>
          <w:sz w:val="20"/>
        </w:rPr>
        <w:t xml:space="preserve">9. </w:t>
      </w:r>
      <w:r>
        <w:rPr>
          <w:rFonts w:ascii="Times New Roman" w:hAnsi="Times New Roman"/>
          <w:b w:val="0"/>
          <w:i w:val="0"/>
          <w:sz w:val="20"/>
        </w:rPr>
        <w:t>Jagnoor J, Keay L, Ganguly K, et al. Unintentional injury deaths in India: a review of the literature. Inj Prev 2012;18:368–75.</w:t>
      </w:r>
    </w:p>
    <w:p>
      <w:pPr>
        <w:spacing w:after="80"/>
        <w:ind w:left="360" w:hanging="360"/>
      </w:pPr>
      <w:r>
        <w:rPr>
          <w:rFonts w:ascii="Times New Roman" w:hAnsi="Times New Roman"/>
          <w:b/>
          <w:i w:val="0"/>
          <w:sz w:val="20"/>
        </w:rPr>
        <w:t xml:space="preserve">10. </w:t>
      </w:r>
      <w:r>
        <w:rPr>
          <w:rFonts w:ascii="Times New Roman" w:hAnsi="Times New Roman"/>
          <w:b w:val="0"/>
          <w:i w:val="0"/>
          <w:sz w:val="20"/>
        </w:rPr>
        <w:t>Razzak JA, Kellermann AL. Emergency medical care in developing countries: is it worthwhile? Bull World Health Organ 2002;80:900–5.</w:t>
      </w:r>
    </w:p>
    <w:p>
      <w:pPr>
        <w:spacing w:after="80"/>
        <w:ind w:left="360" w:hanging="360"/>
      </w:pPr>
      <w:r>
        <w:rPr>
          <w:rFonts w:ascii="Times New Roman" w:hAnsi="Times New Roman"/>
          <w:b/>
          <w:i w:val="0"/>
          <w:sz w:val="20"/>
        </w:rPr>
        <w:t xml:space="preserve">11. </w:t>
      </w:r>
      <w:r>
        <w:rPr>
          <w:rFonts w:ascii="Times New Roman" w:hAnsi="Times New Roman"/>
          <w:b w:val="0"/>
          <w:i w:val="0"/>
          <w:sz w:val="20"/>
        </w:rPr>
        <w:t>GBD 2023 India Subnational Collaborators. Subnational estimates for India from the Global Burden of Disease 2023. Seattle, WA: IHME; 2024.</w:t>
      </w:r>
    </w:p>
    <w:p>
      <w:pPr>
        <w:spacing w:after="80"/>
        <w:ind w:left="360" w:hanging="360"/>
      </w:pPr>
      <w:r>
        <w:rPr>
          <w:rFonts w:ascii="Times New Roman" w:hAnsi="Times New Roman"/>
          <w:b/>
          <w:i w:val="0"/>
          <w:sz w:val="20"/>
        </w:rPr>
        <w:t xml:space="preserve">12. </w:t>
      </w:r>
      <w:r>
        <w:rPr>
          <w:rFonts w:ascii="Times New Roman" w:hAnsi="Times New Roman"/>
          <w:b w:val="0"/>
          <w:i w:val="0"/>
          <w:sz w:val="20"/>
        </w:rPr>
        <w:t>Ministry of Road Transport and Highways. Road Accidents in India 2023, Table 42: State-wise road accidents and deaths 2020–2023. Government of India; 2024.</w:t>
      </w:r>
    </w:p>
    <w:p>
      <w:pPr>
        <w:spacing w:after="80"/>
        <w:ind w:left="360" w:hanging="360"/>
      </w:pPr>
      <w:r>
        <w:rPr>
          <w:rFonts w:ascii="Times New Roman" w:hAnsi="Times New Roman"/>
          <w:b/>
          <w:i w:val="0"/>
          <w:sz w:val="20"/>
        </w:rPr>
        <w:t xml:space="preserve">13. </w:t>
      </w:r>
      <w:r>
        <w:rPr>
          <w:rFonts w:ascii="Times New Roman" w:hAnsi="Times New Roman"/>
          <w:b w:val="0"/>
          <w:i w:val="0"/>
          <w:sz w:val="20"/>
        </w:rPr>
        <w:t>National Crime Records Bureau. ADSI 2023: Tables 21, 31, 34, 39, 48, 60, 73. Ministry of Home Affairs, Government of India; 2024.</w:t>
      </w:r>
    </w:p>
    <w:p>
      <w:pPr>
        <w:spacing w:after="80"/>
        <w:ind w:left="360" w:hanging="360"/>
      </w:pPr>
      <w:r>
        <w:rPr>
          <w:rFonts w:ascii="Times New Roman" w:hAnsi="Times New Roman"/>
          <w:b/>
          <w:i w:val="0"/>
          <w:sz w:val="20"/>
        </w:rPr>
        <w:t xml:space="preserve">14. </w:t>
      </w:r>
      <w:r>
        <w:rPr>
          <w:rFonts w:ascii="Times New Roman" w:hAnsi="Times New Roman"/>
          <w:b w:val="0"/>
          <w:i w:val="0"/>
          <w:sz w:val="20"/>
        </w:rPr>
        <w:t>Iyer A, Sen G, Ostlin P. The intersections of gender and class in health status and health care. Glob Public Health 2008;3(Suppl 1):13–24.</w:t>
      </w:r>
    </w:p>
    <w:p>
      <w:pPr>
        <w:spacing w:after="80"/>
        <w:ind w:left="360" w:hanging="360"/>
      </w:pPr>
      <w:r>
        <w:rPr>
          <w:rFonts w:ascii="Times New Roman" w:hAnsi="Times New Roman"/>
          <w:b/>
          <w:i w:val="0"/>
          <w:sz w:val="20"/>
        </w:rPr>
        <w:t xml:space="preserve">15. </w:t>
      </w:r>
      <w:r>
        <w:rPr>
          <w:rFonts w:ascii="Times New Roman" w:hAnsi="Times New Roman"/>
          <w:b w:val="0"/>
          <w:i w:val="0"/>
          <w:sz w:val="20"/>
        </w:rPr>
        <w:t>Varghese M, Mohan VR. Occupational injuries in India. Epidemiol Health 2016;38:e2016049.</w:t>
      </w:r>
    </w:p>
    <w:p>
      <w:pPr>
        <w:spacing w:after="80"/>
        <w:ind w:left="360" w:hanging="360"/>
      </w:pPr>
      <w:r>
        <w:rPr>
          <w:rFonts w:ascii="Times New Roman" w:hAnsi="Times New Roman"/>
          <w:b/>
          <w:i w:val="0"/>
          <w:sz w:val="20"/>
        </w:rPr>
        <w:t xml:space="preserve">16. </w:t>
      </w:r>
      <w:r>
        <w:rPr>
          <w:rFonts w:ascii="Times New Roman" w:hAnsi="Times New Roman"/>
          <w:b w:val="0"/>
          <w:i w:val="0"/>
          <w:sz w:val="20"/>
        </w:rPr>
        <w:t>Lunetta P, Smith GS, Penttila A, Sajantila A. Unintentional drowning in Finland 1970–2000: a population-based study. Int J Epidemiol 2004;33:1053–63.</w:t>
      </w:r>
    </w:p>
    <w:p>
      <w:pPr>
        <w:spacing w:after="80"/>
        <w:ind w:left="360" w:hanging="360"/>
      </w:pPr>
      <w:r>
        <w:rPr>
          <w:rFonts w:ascii="Times New Roman" w:hAnsi="Times New Roman"/>
          <w:b/>
          <w:i w:val="0"/>
          <w:sz w:val="20"/>
        </w:rPr>
        <w:t xml:space="preserve">17. </w:t>
      </w:r>
      <w:r>
        <w:rPr>
          <w:rFonts w:ascii="Times New Roman" w:hAnsi="Times New Roman"/>
          <w:b w:val="0"/>
          <w:i w:val="0"/>
          <w:sz w:val="20"/>
        </w:rPr>
        <w:t>Bhalla K, Naghavi M, Shahraz S, Bartels D, Murray CJ. Building national estimates of the burden of road traffic injuries in developing countries from all available data sources: Iran. Inj Prev 2009;15:150–6.</w:t>
      </w:r>
    </w:p>
    <w:p>
      <w:pPr>
        <w:spacing w:after="80"/>
        <w:ind w:left="360" w:hanging="360"/>
      </w:pPr>
      <w:r>
        <w:rPr>
          <w:rFonts w:ascii="Times New Roman" w:hAnsi="Times New Roman"/>
          <w:b/>
          <w:i w:val="0"/>
          <w:sz w:val="20"/>
        </w:rPr>
        <w:t xml:space="preserve">18. </w:t>
      </w:r>
      <w:r>
        <w:rPr>
          <w:rFonts w:ascii="Times New Roman" w:hAnsi="Times New Roman"/>
          <w:b w:val="0"/>
          <w:i w:val="0"/>
          <w:sz w:val="20"/>
        </w:rPr>
        <w:t>Ministry of Road Transport and Highways. Motor Vehicles (Amendment) Act 2019. Government of India; 2019.</w:t>
      </w:r>
    </w:p>
    <w:p>
      <w:pPr>
        <w:spacing w:after="80"/>
        <w:ind w:left="360" w:hanging="360"/>
      </w:pPr>
      <w:r>
        <w:rPr>
          <w:rFonts w:ascii="Times New Roman" w:hAnsi="Times New Roman"/>
          <w:b/>
          <w:i w:val="0"/>
          <w:sz w:val="20"/>
        </w:rPr>
        <w:t xml:space="preserve">19. </w:t>
      </w:r>
      <w:r>
        <w:rPr>
          <w:rFonts w:ascii="Times New Roman" w:hAnsi="Times New Roman"/>
          <w:b w:val="0"/>
          <w:i w:val="0"/>
          <w:sz w:val="20"/>
        </w:rPr>
        <w:t>Hyder AA, Borse NN, Blum L, Khan R, El Arifeen S, Baqui AH. Childhood drowning in low- and middle-income countries: urgent need for intervention trials. J Paediatr Child Health 2008;44:221–7.</w:t>
      </w:r>
    </w:p>
    <w:p>
      <w:pPr>
        <w:spacing w:after="80"/>
        <w:ind w:left="360" w:hanging="360"/>
      </w:pPr>
      <w:r>
        <w:rPr>
          <w:rFonts w:ascii="Times New Roman" w:hAnsi="Times New Roman"/>
          <w:b/>
          <w:i w:val="0"/>
          <w:sz w:val="20"/>
        </w:rPr>
        <w:t xml:space="preserve">20. </w:t>
      </w:r>
      <w:r>
        <w:rPr>
          <w:rFonts w:ascii="Times New Roman" w:hAnsi="Times New Roman"/>
          <w:b w:val="0"/>
          <w:i w:val="0"/>
          <w:sz w:val="20"/>
        </w:rPr>
        <w:t>WHO. Drowning: Key facts. World Health Organization; 2023. Available at: https://www.who.int/news-room/fact-sheets/detail/drowning [accessed 23 April 2026].</w:t>
      </w:r>
    </w:p>
    <w:p>
      <w:pPr>
        <w:spacing w:after="80"/>
        <w:ind w:left="360" w:hanging="360"/>
      </w:pPr>
      <w:r>
        <w:rPr>
          <w:rFonts w:ascii="Times New Roman" w:hAnsi="Times New Roman"/>
          <w:b/>
          <w:i w:val="0"/>
          <w:sz w:val="20"/>
        </w:rPr>
        <w:t xml:space="preserve">21. </w:t>
      </w:r>
      <w:r>
        <w:rPr>
          <w:rFonts w:ascii="Times New Roman" w:hAnsi="Times New Roman"/>
          <w:b w:val="0"/>
          <w:i w:val="0"/>
          <w:sz w:val="20"/>
        </w:rPr>
        <w:t>Gururaj G. Road traffic deaths, injuries and disabilities in India: current scenario. Natl Med J India 2008;21:14–20.</w:t>
      </w:r>
    </w:p>
    <w:p>
      <w:pPr>
        <w:spacing w:after="80"/>
        <w:ind w:left="360" w:hanging="360"/>
      </w:pPr>
      <w:r>
        <w:rPr>
          <w:rFonts w:ascii="Times New Roman" w:hAnsi="Times New Roman"/>
          <w:b/>
          <w:i w:val="0"/>
          <w:sz w:val="20"/>
        </w:rPr>
        <w:t xml:space="preserve">22. </w:t>
      </w:r>
      <w:r>
        <w:rPr>
          <w:rFonts w:ascii="Times New Roman" w:hAnsi="Times New Roman"/>
          <w:b w:val="0"/>
          <w:i w:val="0"/>
          <w:sz w:val="20"/>
        </w:rPr>
        <w:t>Dandona R, Kumar GA, Ameer MA, et al. Incidence and burden of road traffic injuries in urban India. Inj Prev 2008;14:360–5.</w:t>
      </w:r>
    </w:p>
    <w:p>
      <w:pPr>
        <w:spacing w:after="80"/>
        <w:ind w:left="360" w:hanging="360"/>
      </w:pPr>
      <w:r>
        <w:rPr>
          <w:rFonts w:ascii="Times New Roman" w:hAnsi="Times New Roman"/>
          <w:b/>
          <w:i w:val="0"/>
          <w:sz w:val="20"/>
        </w:rPr>
        <w:t xml:space="preserve">23. </w:t>
      </w:r>
      <w:r>
        <w:rPr>
          <w:rFonts w:ascii="Times New Roman" w:hAnsi="Times New Roman"/>
          <w:b w:val="0"/>
          <w:i w:val="0"/>
          <w:sz w:val="20"/>
        </w:rPr>
        <w:t>Varshney M, Mahapatra A, Krishnan V, Gupta R, Deb KS. Violence and mental illness: what is the true extent of the association? Br J Psychiatry 2016;208:223–5.</w:t>
      </w:r>
    </w:p>
    <w:p>
      <w:pPr>
        <w:spacing w:after="80"/>
        <w:ind w:left="360" w:hanging="360"/>
      </w:pPr>
      <w:r>
        <w:rPr>
          <w:rFonts w:ascii="Times New Roman" w:hAnsi="Times New Roman"/>
          <w:b/>
          <w:i w:val="0"/>
          <w:sz w:val="20"/>
        </w:rPr>
        <w:t xml:space="preserve">24. </w:t>
      </w:r>
      <w:r>
        <w:rPr>
          <w:rFonts w:ascii="Times New Roman" w:hAnsi="Times New Roman"/>
          <w:b w:val="0"/>
          <w:i w:val="0"/>
          <w:sz w:val="20"/>
        </w:rPr>
        <w:t>Dandona L, Dandona R. Negligible reduction in suicide rates in India over two decades. Natl Med J India 2010;23:131–5.</w:t>
      </w:r>
    </w:p>
    <w:p>
      <w:pPr>
        <w:spacing w:after="80"/>
        <w:ind w:left="360" w:hanging="360"/>
      </w:pPr>
      <w:r>
        <w:rPr>
          <w:rFonts w:ascii="Times New Roman" w:hAnsi="Times New Roman"/>
          <w:b/>
          <w:i w:val="0"/>
          <w:sz w:val="20"/>
        </w:rPr>
        <w:t xml:space="preserve">25. </w:t>
      </w:r>
      <w:r>
        <w:rPr>
          <w:rFonts w:ascii="Times New Roman" w:hAnsi="Times New Roman"/>
          <w:b w:val="0"/>
          <w:i w:val="0"/>
          <w:sz w:val="20"/>
        </w:rPr>
        <w:t>Patel V, Ramasundarahettige C, Vijayakumar L, et al. Suicide mortality in India: a nationally representative survey. Lancet 2012;379:2343–51.</w:t>
      </w:r>
    </w:p>
    <w:p>
      <w:pPr>
        <w:spacing w:after="80"/>
        <w:ind w:left="360" w:hanging="360"/>
      </w:pPr>
      <w:r>
        <w:rPr>
          <w:rFonts w:ascii="Times New Roman" w:hAnsi="Times New Roman"/>
          <w:b/>
          <w:i w:val="0"/>
          <w:sz w:val="20"/>
        </w:rPr>
        <w:t xml:space="preserve">26. </w:t>
      </w:r>
      <w:r>
        <w:rPr>
          <w:rFonts w:ascii="Times New Roman" w:hAnsi="Times New Roman"/>
          <w:b w:val="0"/>
          <w:i w:val="0"/>
          <w:sz w:val="20"/>
        </w:rPr>
        <w:t>Goel S, Sardana M. Poisoning deaths in India. Trop Doct 2006;36:115–16.</w:t>
      </w:r>
    </w:p>
    <w:p>
      <w:pPr>
        <w:spacing w:after="80"/>
        <w:ind w:left="360" w:hanging="360"/>
      </w:pPr>
      <w:r>
        <w:rPr>
          <w:rFonts w:ascii="Times New Roman" w:hAnsi="Times New Roman"/>
          <w:b/>
          <w:i w:val="0"/>
          <w:sz w:val="20"/>
        </w:rPr>
        <w:t xml:space="preserve">27. </w:t>
      </w:r>
      <w:r>
        <w:rPr>
          <w:rFonts w:ascii="Times New Roman" w:hAnsi="Times New Roman"/>
          <w:b w:val="0"/>
          <w:i w:val="0"/>
          <w:sz w:val="20"/>
        </w:rPr>
        <w:t>Chowdhury MR, Rahman M, Akter J. Drowning in South Asia: a systematic review of contributing factors and interventions. BMC Public Health 2020;20:1–13.</w:t>
      </w:r>
    </w:p>
    <w:p>
      <w:pPr>
        <w:spacing w:after="80"/>
        <w:ind w:left="360" w:hanging="360"/>
      </w:pPr>
      <w:r>
        <w:rPr>
          <w:rFonts w:ascii="Times New Roman" w:hAnsi="Times New Roman"/>
          <w:b/>
          <w:i w:val="0"/>
          <w:sz w:val="20"/>
        </w:rPr>
        <w:t xml:space="preserve">28. </w:t>
      </w:r>
      <w:r>
        <w:rPr>
          <w:rFonts w:ascii="Times New Roman" w:hAnsi="Times New Roman"/>
          <w:b w:val="0"/>
          <w:i w:val="0"/>
          <w:sz w:val="20"/>
        </w:rPr>
        <w:t>Bhambhani V, Murray CJ. GBD and administrative data comparison: framework for assessment. Popul Health Metr 2020;18:30.</w:t>
      </w:r>
    </w:p>
    <w:p>
      <w:pPr>
        <w:spacing w:after="80"/>
        <w:ind w:left="360" w:hanging="360"/>
      </w:pPr>
      <w:r>
        <w:rPr>
          <w:rFonts w:ascii="Times New Roman" w:hAnsi="Times New Roman"/>
          <w:b/>
          <w:i w:val="0"/>
          <w:sz w:val="20"/>
        </w:rPr>
        <w:t xml:space="preserve">29. </w:t>
      </w:r>
      <w:r>
        <w:rPr>
          <w:rFonts w:ascii="Times New Roman" w:hAnsi="Times New Roman"/>
          <w:b w:val="0"/>
          <w:i w:val="0"/>
          <w:sz w:val="20"/>
        </w:rPr>
        <w:t>Pruss-Ustun A, Wolf J, Corvalan C, et al. Diseases due to unhealthy environments: an updated estimate of the global burden. J Public Health 2016;38:e61–e72.</w:t>
      </w:r>
    </w:p>
    <w:p>
      <w:pPr>
        <w:spacing w:after="80"/>
        <w:ind w:left="360" w:hanging="360"/>
      </w:pPr>
      <w:r>
        <w:rPr>
          <w:rFonts w:ascii="Times New Roman" w:hAnsi="Times New Roman"/>
          <w:b/>
          <w:i w:val="0"/>
          <w:sz w:val="20"/>
        </w:rPr>
        <w:t xml:space="preserve">30. </w:t>
      </w:r>
      <w:r>
        <w:rPr>
          <w:rFonts w:ascii="Times New Roman" w:hAnsi="Times New Roman"/>
          <w:b w:val="0"/>
          <w:i w:val="0"/>
          <w:sz w:val="20"/>
        </w:rPr>
        <w:t>GBD 2021 Collaborators. Global incidence, prevalence, years lived with disability (YLD), disability-adjusted life-years (DALYs) and healthy life expectancy (HALE) for 371 diseases and injuries: a systematic analysis for the Global Burden of Disease Study 2021. Lancet 2024;403:2133–61.</w:t>
      </w:r>
    </w:p>
    <w:p>
      <w:r>
        <w:br w:type="page"/>
      </w:r>
    </w:p>
    <w:p>
      <w:pPr>
        <w:spacing w:before="200" w:after="80"/>
      </w:pPr>
      <w:r>
        <w:rPr>
          <w:rFonts w:ascii="Times New Roman" w:hAnsi="Times New Roman"/>
          <w:b/>
          <w:i w:val="0"/>
          <w:sz w:val="24"/>
        </w:rPr>
        <w:t>TABLES</w:t>
      </w:r>
    </w:p>
    <w:p>
      <w:pPr>
        <w:spacing w:before="240" w:after="80"/>
      </w:pPr>
      <w:r>
        <w:rPr>
          <w:rFonts w:ascii="Times New Roman" w:hAnsi="Times New Roman"/>
          <w:b/>
          <w:i w:val="0"/>
          <w:sz w:val="22"/>
        </w:rPr>
        <w:t>Table 1. State-level injury burden in India — GBD 2023 (Year 2021, all injuries, both sexes, all ages). Rates per 100,000 population.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2304"/>
            <w:shd w:fill="2C3E50" w:color="FFFFFF" w:val="clear"/>
          </w:tcPr>
          <w:p>
            <w:pPr>
              <w:jc w:val="center"/>
            </w:pPr>
            <w:r>
              <w:rPr>
                <w:rFonts w:ascii="Times New Roman" w:hAnsi="Times New Roman"/>
                <w:b/>
                <w:i w:val="0"/>
                <w:color w:val="FFFFFF"/>
                <w:sz w:val="16"/>
              </w:rPr>
              <w:t>State/UT</w:t>
            </w:r>
          </w:p>
        </w:tc>
        <w:tc>
          <w:tcPr>
            <w:tcW w:type="dxa" w:w="1584"/>
            <w:shd w:fill="2C3E50" w:color="FFFFFF" w:val="clear"/>
          </w:tcPr>
          <w:p>
            <w:pPr>
              <w:jc w:val="center"/>
            </w:pPr>
            <w:r>
              <w:rPr>
                <w:rFonts w:ascii="Times New Roman" w:hAnsi="Times New Roman"/>
                <w:b/>
                <w:i w:val="0"/>
                <w:color w:val="FFFFFF"/>
                <w:sz w:val="16"/>
              </w:rPr>
              <w:t>DALYs (N, ×10³)</w:t>
            </w:r>
          </w:p>
        </w:tc>
        <w:tc>
          <w:tcPr>
            <w:tcW w:type="dxa" w:w="1296"/>
            <w:shd w:fill="2C3E50" w:color="FFFFFF" w:val="clear"/>
          </w:tcPr>
          <w:p>
            <w:pPr>
              <w:jc w:val="center"/>
            </w:pPr>
            <w:r>
              <w:rPr>
                <w:rFonts w:ascii="Times New Roman" w:hAnsi="Times New Roman"/>
                <w:b/>
                <w:i w:val="0"/>
                <w:color w:val="FFFFFF"/>
                <w:sz w:val="16"/>
              </w:rPr>
              <w:t>DALY rate</w:t>
            </w:r>
          </w:p>
        </w:tc>
        <w:tc>
          <w:tcPr>
            <w:tcW w:type="dxa" w:w="1440"/>
            <w:shd w:fill="2C3E50" w:color="FFFFFF" w:val="clear"/>
          </w:tcPr>
          <w:p>
            <w:pPr>
              <w:jc w:val="center"/>
            </w:pPr>
            <w:r>
              <w:rPr>
                <w:rFonts w:ascii="Times New Roman" w:hAnsi="Times New Roman"/>
                <w:b/>
                <w:i w:val="0"/>
                <w:color w:val="FFFFFF"/>
                <w:sz w:val="16"/>
              </w:rPr>
              <w:t>Deaths (N)</w:t>
            </w:r>
          </w:p>
        </w:tc>
        <w:tc>
          <w:tcPr>
            <w:tcW w:type="dxa" w:w="1224"/>
            <w:shd w:fill="2C3E50" w:color="FFFFFF" w:val="clear"/>
          </w:tcPr>
          <w:p>
            <w:pPr>
              <w:jc w:val="center"/>
            </w:pPr>
            <w:r>
              <w:rPr>
                <w:rFonts w:ascii="Times New Roman" w:hAnsi="Times New Roman"/>
                <w:b/>
                <w:i w:val="0"/>
                <w:color w:val="FFFFFF"/>
                <w:sz w:val="16"/>
              </w:rPr>
              <w:t>Death rate</w:t>
            </w:r>
          </w:p>
        </w:tc>
        <w:tc>
          <w:tcPr>
            <w:tcW w:type="dxa" w:w="1440"/>
            <w:shd w:fill="2C3E50" w:color="FFFFFF" w:val="clear"/>
          </w:tcPr>
          <w:p>
            <w:pPr>
              <w:jc w:val="center"/>
            </w:pPr>
            <w:r>
              <w:rPr>
                <w:rFonts w:ascii="Times New Roman" w:hAnsi="Times New Roman"/>
                <w:b/>
                <w:i w:val="0"/>
                <w:color w:val="FFFFFF"/>
                <w:sz w:val="16"/>
              </w:rPr>
              <w:t>YLDs (N, ×10³)</w:t>
            </w:r>
          </w:p>
        </w:tc>
        <w:tc>
          <w:tcPr>
            <w:tcW w:type="dxa" w:w="1224"/>
            <w:shd w:fill="2C3E50" w:color="FFFFFF" w:val="clear"/>
          </w:tcPr>
          <w:p>
            <w:pPr>
              <w:jc w:val="center"/>
            </w:pPr>
            <w:r>
              <w:rPr>
                <w:rFonts w:ascii="Times New Roman" w:hAnsi="Times New Roman"/>
                <w:b/>
                <w:i w:val="0"/>
                <w:color w:val="FFFFFF"/>
                <w:sz w:val="16"/>
              </w:rPr>
              <w:t>YLD rate</w:t>
            </w:r>
          </w:p>
        </w:tc>
        <w:tc>
          <w:tcPr>
            <w:tcW w:type="dxa" w:w="1584"/>
            <w:shd w:fill="2C3E50" w:color="FFFFFF" w:val="clear"/>
          </w:tcPr>
          <w:p>
            <w:pPr>
              <w:jc w:val="center"/>
            </w:pPr>
            <w:r>
              <w:rPr>
                <w:rFonts w:ascii="Times New Roman" w:hAnsi="Times New Roman"/>
                <w:b/>
                <w:i w:val="0"/>
                <w:color w:val="FFFFFF"/>
                <w:sz w:val="16"/>
              </w:rPr>
              <w:t>YLD fraction (%)</w:t>
            </w:r>
          </w:p>
        </w:tc>
      </w:tr>
      <w:tr>
        <w:tc>
          <w:tcPr>
            <w:tcW w:type="dxa" w:w="2304"/>
          </w:tcPr>
          <w:p>
            <w:pPr>
              <w:jc w:val="left"/>
            </w:pPr>
            <w:r>
              <w:rPr>
                <w:rFonts w:ascii="Times New Roman" w:hAnsi="Times New Roman"/>
                <w:b w:val="0"/>
                <w:i w:val="0"/>
                <w:sz w:val="16"/>
              </w:rPr>
              <w:t>Andhra Pradesh</w:t>
            </w:r>
          </w:p>
        </w:tc>
        <w:tc>
          <w:tcPr>
            <w:tcW w:type="dxa" w:w="1584"/>
          </w:tcPr>
          <w:p>
            <w:pPr>
              <w:jc w:val="center"/>
            </w:pPr>
            <w:r>
              <w:rPr>
                <w:rFonts w:ascii="Times New Roman" w:hAnsi="Times New Roman"/>
                <w:b w:val="0"/>
                <w:i w:val="0"/>
                <w:sz w:val="16"/>
              </w:rPr>
              <w:t>2,465</w:t>
            </w:r>
          </w:p>
        </w:tc>
        <w:tc>
          <w:tcPr>
            <w:tcW w:type="dxa" w:w="1296"/>
          </w:tcPr>
          <w:p>
            <w:pPr>
              <w:jc w:val="center"/>
            </w:pPr>
            <w:r>
              <w:rPr>
                <w:rFonts w:ascii="Times New Roman" w:hAnsi="Times New Roman"/>
                <w:b w:val="0"/>
                <w:i w:val="0"/>
                <w:sz w:val="16"/>
              </w:rPr>
              <w:t>4,655</w:t>
            </w:r>
          </w:p>
        </w:tc>
        <w:tc>
          <w:tcPr>
            <w:tcW w:type="dxa" w:w="1440"/>
          </w:tcPr>
          <w:p>
            <w:pPr>
              <w:jc w:val="center"/>
            </w:pPr>
            <w:r>
              <w:rPr>
                <w:rFonts w:ascii="Times New Roman" w:hAnsi="Times New Roman"/>
                <w:b w:val="0"/>
                <w:i w:val="0"/>
                <w:sz w:val="16"/>
              </w:rPr>
              <w:t>50,075</w:t>
            </w:r>
          </w:p>
        </w:tc>
        <w:tc>
          <w:tcPr>
            <w:tcW w:type="dxa" w:w="1224"/>
          </w:tcPr>
          <w:p>
            <w:pPr>
              <w:jc w:val="center"/>
            </w:pPr>
            <w:r>
              <w:rPr>
                <w:rFonts w:ascii="Times New Roman" w:hAnsi="Times New Roman"/>
                <w:b w:val="0"/>
                <w:i w:val="0"/>
                <w:sz w:val="16"/>
              </w:rPr>
              <w:t>94.5</w:t>
            </w:r>
          </w:p>
        </w:tc>
        <w:tc>
          <w:tcPr>
            <w:tcW w:type="dxa" w:w="1440"/>
          </w:tcPr>
          <w:p>
            <w:pPr>
              <w:jc w:val="center"/>
            </w:pPr>
            <w:r>
              <w:rPr>
                <w:rFonts w:ascii="Times New Roman" w:hAnsi="Times New Roman"/>
                <w:b w:val="0"/>
                <w:i w:val="0"/>
                <w:sz w:val="16"/>
              </w:rPr>
              <w:t>411</w:t>
            </w:r>
          </w:p>
        </w:tc>
        <w:tc>
          <w:tcPr>
            <w:tcW w:type="dxa" w:w="1224"/>
          </w:tcPr>
          <w:p>
            <w:pPr>
              <w:jc w:val="center"/>
            </w:pPr>
            <w:r>
              <w:rPr>
                <w:rFonts w:ascii="Times New Roman" w:hAnsi="Times New Roman"/>
                <w:b w:val="0"/>
                <w:i w:val="0"/>
                <w:sz w:val="16"/>
              </w:rPr>
              <w:t>777</w:t>
            </w:r>
          </w:p>
        </w:tc>
        <w:tc>
          <w:tcPr>
            <w:tcW w:type="dxa" w:w="1584"/>
          </w:tcPr>
          <w:p>
            <w:pPr>
              <w:jc w:val="center"/>
            </w:pPr>
            <w:r>
              <w:rPr>
                <w:rFonts w:ascii="Times New Roman" w:hAnsi="Times New Roman"/>
                <w:b w:val="0"/>
                <w:i w:val="0"/>
                <w:sz w:val="16"/>
              </w:rPr>
              <w:t>16.7</w:t>
            </w:r>
          </w:p>
        </w:tc>
      </w:tr>
      <w:tr>
        <w:tc>
          <w:tcPr>
            <w:tcW w:type="dxa" w:w="2304"/>
            <w:shd w:fill="F5F5F5" w:val="clear"/>
          </w:tcPr>
          <w:p>
            <w:pPr>
              <w:jc w:val="left"/>
            </w:pPr>
            <w:r>
              <w:rPr>
                <w:rFonts w:ascii="Times New Roman" w:hAnsi="Times New Roman"/>
                <w:b w:val="0"/>
                <w:i w:val="0"/>
                <w:sz w:val="16"/>
              </w:rPr>
              <w:t>Arunachal Pradesh</w:t>
            </w:r>
          </w:p>
        </w:tc>
        <w:tc>
          <w:tcPr>
            <w:tcW w:type="dxa" w:w="1584"/>
            <w:shd w:fill="F5F5F5" w:val="clear"/>
          </w:tcPr>
          <w:p>
            <w:pPr>
              <w:jc w:val="center"/>
            </w:pPr>
            <w:r>
              <w:rPr>
                <w:rFonts w:ascii="Times New Roman" w:hAnsi="Times New Roman"/>
                <w:b w:val="0"/>
                <w:i w:val="0"/>
                <w:sz w:val="16"/>
              </w:rPr>
              <w:t>60</w:t>
            </w:r>
          </w:p>
        </w:tc>
        <w:tc>
          <w:tcPr>
            <w:tcW w:type="dxa" w:w="1296"/>
            <w:shd w:fill="F5F5F5" w:val="clear"/>
          </w:tcPr>
          <w:p>
            <w:pPr>
              <w:jc w:val="center"/>
            </w:pPr>
            <w:r>
              <w:rPr>
                <w:rFonts w:ascii="Times New Roman" w:hAnsi="Times New Roman"/>
                <w:b w:val="0"/>
                <w:i w:val="0"/>
                <w:sz w:val="16"/>
              </w:rPr>
              <w:t>3,482</w:t>
            </w:r>
          </w:p>
        </w:tc>
        <w:tc>
          <w:tcPr>
            <w:tcW w:type="dxa" w:w="1440"/>
            <w:shd w:fill="F5F5F5" w:val="clear"/>
          </w:tcPr>
          <w:p>
            <w:pPr>
              <w:jc w:val="center"/>
            </w:pPr>
            <w:r>
              <w:rPr>
                <w:rFonts w:ascii="Times New Roman" w:hAnsi="Times New Roman"/>
                <w:b w:val="0"/>
                <w:i w:val="0"/>
                <w:sz w:val="16"/>
              </w:rPr>
              <w:t>917</w:t>
            </w:r>
          </w:p>
        </w:tc>
        <w:tc>
          <w:tcPr>
            <w:tcW w:type="dxa" w:w="1224"/>
            <w:shd w:fill="F5F5F5" w:val="clear"/>
          </w:tcPr>
          <w:p>
            <w:pPr>
              <w:jc w:val="center"/>
            </w:pPr>
            <w:r>
              <w:rPr>
                <w:rFonts w:ascii="Times New Roman" w:hAnsi="Times New Roman"/>
                <w:b w:val="0"/>
                <w:i w:val="0"/>
                <w:sz w:val="16"/>
              </w:rPr>
              <w:t>52.9</w:t>
            </w:r>
          </w:p>
        </w:tc>
        <w:tc>
          <w:tcPr>
            <w:tcW w:type="dxa" w:w="1440"/>
            <w:shd w:fill="F5F5F5" w:val="clear"/>
          </w:tcPr>
          <w:p>
            <w:pPr>
              <w:jc w:val="center"/>
            </w:pPr>
            <w:r>
              <w:rPr>
                <w:rFonts w:ascii="Times New Roman" w:hAnsi="Times New Roman"/>
                <w:b w:val="0"/>
                <w:i w:val="0"/>
                <w:sz w:val="16"/>
              </w:rPr>
              <w:t>10</w:t>
            </w:r>
          </w:p>
        </w:tc>
        <w:tc>
          <w:tcPr>
            <w:tcW w:type="dxa" w:w="1224"/>
            <w:shd w:fill="F5F5F5" w:val="clear"/>
          </w:tcPr>
          <w:p>
            <w:pPr>
              <w:jc w:val="center"/>
            </w:pPr>
            <w:r>
              <w:rPr>
                <w:rFonts w:ascii="Times New Roman" w:hAnsi="Times New Roman"/>
                <w:b w:val="0"/>
                <w:i w:val="0"/>
                <w:sz w:val="16"/>
              </w:rPr>
              <w:t>585</w:t>
            </w:r>
          </w:p>
        </w:tc>
        <w:tc>
          <w:tcPr>
            <w:tcW w:type="dxa" w:w="1584"/>
            <w:shd w:fill="F5F5F5" w:val="clear"/>
          </w:tcPr>
          <w:p>
            <w:pPr>
              <w:jc w:val="center"/>
            </w:pPr>
            <w:r>
              <w:rPr>
                <w:rFonts w:ascii="Times New Roman" w:hAnsi="Times New Roman"/>
                <w:b w:val="0"/>
                <w:i w:val="0"/>
                <w:sz w:val="16"/>
              </w:rPr>
              <w:t>16.8</w:t>
            </w:r>
          </w:p>
        </w:tc>
      </w:tr>
      <w:tr>
        <w:tc>
          <w:tcPr>
            <w:tcW w:type="dxa" w:w="2304"/>
          </w:tcPr>
          <w:p>
            <w:pPr>
              <w:jc w:val="left"/>
            </w:pPr>
            <w:r>
              <w:rPr>
                <w:rFonts w:ascii="Times New Roman" w:hAnsi="Times New Roman"/>
                <w:b w:val="0"/>
                <w:i w:val="0"/>
                <w:sz w:val="16"/>
              </w:rPr>
              <w:t>Assam</w:t>
            </w:r>
          </w:p>
        </w:tc>
        <w:tc>
          <w:tcPr>
            <w:tcW w:type="dxa" w:w="1584"/>
          </w:tcPr>
          <w:p>
            <w:pPr>
              <w:jc w:val="center"/>
            </w:pPr>
            <w:r>
              <w:rPr>
                <w:rFonts w:ascii="Times New Roman" w:hAnsi="Times New Roman"/>
                <w:b w:val="0"/>
                <w:i w:val="0"/>
                <w:sz w:val="16"/>
              </w:rPr>
              <w:t>1,361</w:t>
            </w:r>
          </w:p>
        </w:tc>
        <w:tc>
          <w:tcPr>
            <w:tcW w:type="dxa" w:w="1296"/>
          </w:tcPr>
          <w:p>
            <w:pPr>
              <w:jc w:val="center"/>
            </w:pPr>
            <w:r>
              <w:rPr>
                <w:rFonts w:ascii="Times New Roman" w:hAnsi="Times New Roman"/>
                <w:b w:val="0"/>
                <w:i w:val="0"/>
                <w:sz w:val="16"/>
              </w:rPr>
              <w:t>3,675</w:t>
            </w:r>
          </w:p>
        </w:tc>
        <w:tc>
          <w:tcPr>
            <w:tcW w:type="dxa" w:w="1440"/>
          </w:tcPr>
          <w:p>
            <w:pPr>
              <w:jc w:val="center"/>
            </w:pPr>
            <w:r>
              <w:rPr>
                <w:rFonts w:ascii="Times New Roman" w:hAnsi="Times New Roman"/>
                <w:b w:val="0"/>
                <w:i w:val="0"/>
                <w:sz w:val="16"/>
              </w:rPr>
              <w:t>23,561</w:t>
            </w:r>
          </w:p>
        </w:tc>
        <w:tc>
          <w:tcPr>
            <w:tcW w:type="dxa" w:w="1224"/>
          </w:tcPr>
          <w:p>
            <w:pPr>
              <w:jc w:val="center"/>
            </w:pPr>
            <w:r>
              <w:rPr>
                <w:rFonts w:ascii="Times New Roman" w:hAnsi="Times New Roman"/>
                <w:b w:val="0"/>
                <w:i w:val="0"/>
                <w:sz w:val="16"/>
              </w:rPr>
              <w:t>63.6</w:t>
            </w:r>
          </w:p>
        </w:tc>
        <w:tc>
          <w:tcPr>
            <w:tcW w:type="dxa" w:w="1440"/>
          </w:tcPr>
          <w:p>
            <w:pPr>
              <w:jc w:val="center"/>
            </w:pPr>
            <w:r>
              <w:rPr>
                <w:rFonts w:ascii="Times New Roman" w:hAnsi="Times New Roman"/>
                <w:b w:val="0"/>
                <w:i w:val="0"/>
                <w:sz w:val="16"/>
              </w:rPr>
              <w:t>260</w:t>
            </w:r>
          </w:p>
        </w:tc>
        <w:tc>
          <w:tcPr>
            <w:tcW w:type="dxa" w:w="1224"/>
          </w:tcPr>
          <w:p>
            <w:pPr>
              <w:jc w:val="center"/>
            </w:pPr>
            <w:r>
              <w:rPr>
                <w:rFonts w:ascii="Times New Roman" w:hAnsi="Times New Roman"/>
                <w:b w:val="0"/>
                <w:i w:val="0"/>
                <w:sz w:val="16"/>
              </w:rPr>
              <w:t>702</w:t>
            </w:r>
          </w:p>
        </w:tc>
        <w:tc>
          <w:tcPr>
            <w:tcW w:type="dxa" w:w="1584"/>
          </w:tcPr>
          <w:p>
            <w:pPr>
              <w:jc w:val="center"/>
            </w:pPr>
            <w:r>
              <w:rPr>
                <w:rFonts w:ascii="Times New Roman" w:hAnsi="Times New Roman"/>
                <w:b w:val="0"/>
                <w:i w:val="0"/>
                <w:sz w:val="16"/>
              </w:rPr>
              <w:t>19.1</w:t>
            </w:r>
          </w:p>
        </w:tc>
      </w:tr>
      <w:tr>
        <w:tc>
          <w:tcPr>
            <w:tcW w:type="dxa" w:w="2304"/>
            <w:shd w:fill="F5F5F5" w:val="clear"/>
          </w:tcPr>
          <w:p>
            <w:pPr>
              <w:jc w:val="left"/>
            </w:pPr>
            <w:r>
              <w:rPr>
                <w:rFonts w:ascii="Times New Roman" w:hAnsi="Times New Roman"/>
                <w:b w:val="0"/>
                <w:i w:val="0"/>
                <w:sz w:val="16"/>
              </w:rPr>
              <w:t>Bihar</w:t>
            </w:r>
          </w:p>
        </w:tc>
        <w:tc>
          <w:tcPr>
            <w:tcW w:type="dxa" w:w="1584"/>
            <w:shd w:fill="F5F5F5" w:val="clear"/>
          </w:tcPr>
          <w:p>
            <w:pPr>
              <w:jc w:val="center"/>
            </w:pPr>
            <w:r>
              <w:rPr>
                <w:rFonts w:ascii="Times New Roman" w:hAnsi="Times New Roman"/>
                <w:b w:val="0"/>
                <w:i w:val="0"/>
                <w:sz w:val="16"/>
              </w:rPr>
              <w:t>4,124</w:t>
            </w:r>
          </w:p>
        </w:tc>
        <w:tc>
          <w:tcPr>
            <w:tcW w:type="dxa" w:w="1296"/>
            <w:shd w:fill="F5F5F5" w:val="clear"/>
          </w:tcPr>
          <w:p>
            <w:pPr>
              <w:jc w:val="center"/>
            </w:pPr>
            <w:r>
              <w:rPr>
                <w:rFonts w:ascii="Times New Roman" w:hAnsi="Times New Roman"/>
                <w:b w:val="0"/>
                <w:i w:val="0"/>
                <w:sz w:val="16"/>
              </w:rPr>
              <w:t>3,294</w:t>
            </w:r>
          </w:p>
        </w:tc>
        <w:tc>
          <w:tcPr>
            <w:tcW w:type="dxa" w:w="1440"/>
            <w:shd w:fill="F5F5F5" w:val="clear"/>
          </w:tcPr>
          <w:p>
            <w:pPr>
              <w:jc w:val="center"/>
            </w:pPr>
            <w:r>
              <w:rPr>
                <w:rFonts w:ascii="Times New Roman" w:hAnsi="Times New Roman"/>
                <w:b w:val="0"/>
                <w:i w:val="0"/>
                <w:sz w:val="16"/>
              </w:rPr>
              <w:t>71,534</w:t>
            </w:r>
          </w:p>
        </w:tc>
        <w:tc>
          <w:tcPr>
            <w:tcW w:type="dxa" w:w="1224"/>
            <w:shd w:fill="F5F5F5" w:val="clear"/>
          </w:tcPr>
          <w:p>
            <w:pPr>
              <w:jc w:val="center"/>
            </w:pPr>
            <w:r>
              <w:rPr>
                <w:rFonts w:ascii="Times New Roman" w:hAnsi="Times New Roman"/>
                <w:b w:val="0"/>
                <w:i w:val="0"/>
                <w:sz w:val="16"/>
              </w:rPr>
              <w:t>57.1</w:t>
            </w:r>
          </w:p>
        </w:tc>
        <w:tc>
          <w:tcPr>
            <w:tcW w:type="dxa" w:w="1440"/>
            <w:shd w:fill="F5F5F5" w:val="clear"/>
          </w:tcPr>
          <w:p>
            <w:pPr>
              <w:jc w:val="center"/>
            </w:pPr>
            <w:r>
              <w:rPr>
                <w:rFonts w:ascii="Times New Roman" w:hAnsi="Times New Roman"/>
                <w:b w:val="0"/>
                <w:i w:val="0"/>
                <w:sz w:val="16"/>
              </w:rPr>
              <w:t>742</w:t>
            </w:r>
          </w:p>
        </w:tc>
        <w:tc>
          <w:tcPr>
            <w:tcW w:type="dxa" w:w="1224"/>
            <w:shd w:fill="F5F5F5" w:val="clear"/>
          </w:tcPr>
          <w:p>
            <w:pPr>
              <w:jc w:val="center"/>
            </w:pPr>
            <w:r>
              <w:rPr>
                <w:rFonts w:ascii="Times New Roman" w:hAnsi="Times New Roman"/>
                <w:b w:val="0"/>
                <w:i w:val="0"/>
                <w:sz w:val="16"/>
              </w:rPr>
              <w:t>593</w:t>
            </w:r>
          </w:p>
        </w:tc>
        <w:tc>
          <w:tcPr>
            <w:tcW w:type="dxa" w:w="1584"/>
            <w:shd w:fill="F5F5F5" w:val="clear"/>
          </w:tcPr>
          <w:p>
            <w:pPr>
              <w:jc w:val="center"/>
            </w:pPr>
            <w:r>
              <w:rPr>
                <w:rFonts w:ascii="Times New Roman" w:hAnsi="Times New Roman"/>
                <w:b w:val="0"/>
                <w:i w:val="0"/>
                <w:sz w:val="16"/>
              </w:rPr>
              <w:t>18.0</w:t>
            </w:r>
          </w:p>
        </w:tc>
      </w:tr>
      <w:tr>
        <w:tc>
          <w:tcPr>
            <w:tcW w:type="dxa" w:w="2304"/>
          </w:tcPr>
          <w:p>
            <w:pPr>
              <w:jc w:val="left"/>
            </w:pPr>
            <w:r>
              <w:rPr>
                <w:rFonts w:ascii="Times New Roman" w:hAnsi="Times New Roman"/>
                <w:b w:val="0"/>
                <w:i w:val="0"/>
                <w:sz w:val="16"/>
              </w:rPr>
              <w:t>Chhattisgarh</w:t>
            </w:r>
          </w:p>
        </w:tc>
        <w:tc>
          <w:tcPr>
            <w:tcW w:type="dxa" w:w="1584"/>
          </w:tcPr>
          <w:p>
            <w:pPr>
              <w:jc w:val="center"/>
            </w:pPr>
            <w:r>
              <w:rPr>
                <w:rFonts w:ascii="Times New Roman" w:hAnsi="Times New Roman"/>
                <w:b w:val="0"/>
                <w:i w:val="0"/>
                <w:sz w:val="16"/>
              </w:rPr>
              <w:t>1,646</w:t>
            </w:r>
          </w:p>
        </w:tc>
        <w:tc>
          <w:tcPr>
            <w:tcW w:type="dxa" w:w="1296"/>
          </w:tcPr>
          <w:p>
            <w:pPr>
              <w:jc w:val="center"/>
            </w:pPr>
            <w:r>
              <w:rPr>
                <w:rFonts w:ascii="Times New Roman" w:hAnsi="Times New Roman"/>
                <w:b w:val="0"/>
                <w:i w:val="0"/>
                <w:sz w:val="16"/>
              </w:rPr>
              <w:t>5,045</w:t>
            </w:r>
          </w:p>
        </w:tc>
        <w:tc>
          <w:tcPr>
            <w:tcW w:type="dxa" w:w="1440"/>
          </w:tcPr>
          <w:p>
            <w:pPr>
              <w:jc w:val="center"/>
            </w:pPr>
            <w:r>
              <w:rPr>
                <w:rFonts w:ascii="Times New Roman" w:hAnsi="Times New Roman"/>
                <w:b w:val="0"/>
                <w:i w:val="0"/>
                <w:sz w:val="16"/>
              </w:rPr>
              <w:t>31,089</w:t>
            </w:r>
          </w:p>
        </w:tc>
        <w:tc>
          <w:tcPr>
            <w:tcW w:type="dxa" w:w="1224"/>
          </w:tcPr>
          <w:p>
            <w:pPr>
              <w:jc w:val="center"/>
            </w:pPr>
            <w:r>
              <w:rPr>
                <w:rFonts w:ascii="Times New Roman" w:hAnsi="Times New Roman"/>
                <w:b w:val="0"/>
                <w:i w:val="0"/>
                <w:sz w:val="16"/>
              </w:rPr>
              <w:t>95.3</w:t>
            </w:r>
          </w:p>
        </w:tc>
        <w:tc>
          <w:tcPr>
            <w:tcW w:type="dxa" w:w="1440"/>
          </w:tcPr>
          <w:p>
            <w:pPr>
              <w:jc w:val="center"/>
            </w:pPr>
            <w:r>
              <w:rPr>
                <w:rFonts w:ascii="Times New Roman" w:hAnsi="Times New Roman"/>
                <w:b w:val="0"/>
                <w:i w:val="0"/>
                <w:sz w:val="16"/>
              </w:rPr>
              <w:t>202</w:t>
            </w:r>
          </w:p>
        </w:tc>
        <w:tc>
          <w:tcPr>
            <w:tcW w:type="dxa" w:w="1224"/>
          </w:tcPr>
          <w:p>
            <w:pPr>
              <w:jc w:val="center"/>
            </w:pPr>
            <w:r>
              <w:rPr>
                <w:rFonts w:ascii="Times New Roman" w:hAnsi="Times New Roman"/>
                <w:b w:val="0"/>
                <w:i w:val="0"/>
                <w:sz w:val="16"/>
              </w:rPr>
              <w:t>619</w:t>
            </w:r>
          </w:p>
        </w:tc>
        <w:tc>
          <w:tcPr>
            <w:tcW w:type="dxa" w:w="1584"/>
          </w:tcPr>
          <w:p>
            <w:pPr>
              <w:jc w:val="center"/>
            </w:pPr>
            <w:r>
              <w:rPr>
                <w:rFonts w:ascii="Times New Roman" w:hAnsi="Times New Roman"/>
                <w:b w:val="0"/>
                <w:i w:val="0"/>
                <w:sz w:val="16"/>
              </w:rPr>
              <w:t>12.3</w:t>
            </w:r>
          </w:p>
        </w:tc>
      </w:tr>
      <w:tr>
        <w:tc>
          <w:tcPr>
            <w:tcW w:type="dxa" w:w="2304"/>
            <w:shd w:fill="F5F5F5" w:val="clear"/>
          </w:tcPr>
          <w:p>
            <w:pPr>
              <w:jc w:val="left"/>
            </w:pPr>
            <w:r>
              <w:rPr>
                <w:rFonts w:ascii="Times New Roman" w:hAnsi="Times New Roman"/>
                <w:b w:val="0"/>
                <w:i w:val="0"/>
                <w:sz w:val="16"/>
              </w:rPr>
              <w:t>Delhi</w:t>
            </w:r>
          </w:p>
        </w:tc>
        <w:tc>
          <w:tcPr>
            <w:tcW w:type="dxa" w:w="1584"/>
            <w:shd w:fill="F5F5F5" w:val="clear"/>
          </w:tcPr>
          <w:p>
            <w:pPr>
              <w:jc w:val="center"/>
            </w:pPr>
            <w:r>
              <w:rPr>
                <w:rFonts w:ascii="Times New Roman" w:hAnsi="Times New Roman"/>
                <w:b w:val="0"/>
                <w:i w:val="0"/>
                <w:sz w:val="16"/>
              </w:rPr>
              <w:t>457</w:t>
            </w:r>
          </w:p>
        </w:tc>
        <w:tc>
          <w:tcPr>
            <w:tcW w:type="dxa" w:w="1296"/>
            <w:shd w:fill="F5F5F5" w:val="clear"/>
          </w:tcPr>
          <w:p>
            <w:pPr>
              <w:jc w:val="center"/>
            </w:pPr>
            <w:r>
              <w:rPr>
                <w:rFonts w:ascii="Times New Roman" w:hAnsi="Times New Roman"/>
                <w:b w:val="0"/>
                <w:i w:val="0"/>
                <w:sz w:val="16"/>
              </w:rPr>
              <w:t>2,296</w:t>
            </w:r>
          </w:p>
        </w:tc>
        <w:tc>
          <w:tcPr>
            <w:tcW w:type="dxa" w:w="1440"/>
            <w:shd w:fill="F5F5F5" w:val="clear"/>
          </w:tcPr>
          <w:p>
            <w:pPr>
              <w:jc w:val="center"/>
            </w:pPr>
            <w:r>
              <w:rPr>
                <w:rFonts w:ascii="Times New Roman" w:hAnsi="Times New Roman"/>
                <w:b w:val="0"/>
                <w:i w:val="0"/>
                <w:sz w:val="16"/>
              </w:rPr>
              <w:t>8,307</w:t>
            </w:r>
          </w:p>
        </w:tc>
        <w:tc>
          <w:tcPr>
            <w:tcW w:type="dxa" w:w="1224"/>
            <w:shd w:fill="F5F5F5" w:val="clear"/>
          </w:tcPr>
          <w:p>
            <w:pPr>
              <w:jc w:val="center"/>
            </w:pPr>
            <w:r>
              <w:rPr>
                <w:rFonts w:ascii="Times New Roman" w:hAnsi="Times New Roman"/>
                <w:b w:val="0"/>
                <w:i w:val="0"/>
                <w:sz w:val="16"/>
              </w:rPr>
              <w:t>41.8</w:t>
            </w:r>
          </w:p>
        </w:tc>
        <w:tc>
          <w:tcPr>
            <w:tcW w:type="dxa" w:w="1440"/>
            <w:shd w:fill="F5F5F5" w:val="clear"/>
          </w:tcPr>
          <w:p>
            <w:pPr>
              <w:jc w:val="center"/>
            </w:pPr>
            <w:r>
              <w:rPr>
                <w:rFonts w:ascii="Times New Roman" w:hAnsi="Times New Roman"/>
                <w:b w:val="0"/>
                <w:i w:val="0"/>
                <w:sz w:val="16"/>
              </w:rPr>
              <w:t>116</w:t>
            </w:r>
          </w:p>
        </w:tc>
        <w:tc>
          <w:tcPr>
            <w:tcW w:type="dxa" w:w="1224"/>
            <w:shd w:fill="F5F5F5" w:val="clear"/>
          </w:tcPr>
          <w:p>
            <w:pPr>
              <w:jc w:val="center"/>
            </w:pPr>
            <w:r>
              <w:rPr>
                <w:rFonts w:ascii="Times New Roman" w:hAnsi="Times New Roman"/>
                <w:b w:val="0"/>
                <w:i w:val="0"/>
                <w:sz w:val="16"/>
              </w:rPr>
              <w:t>582</w:t>
            </w:r>
          </w:p>
        </w:tc>
        <w:tc>
          <w:tcPr>
            <w:tcW w:type="dxa" w:w="1584"/>
            <w:shd w:fill="F5F5F5" w:val="clear"/>
          </w:tcPr>
          <w:p>
            <w:pPr>
              <w:jc w:val="center"/>
            </w:pPr>
            <w:r>
              <w:rPr>
                <w:rFonts w:ascii="Times New Roman" w:hAnsi="Times New Roman"/>
                <w:b w:val="0"/>
                <w:i w:val="0"/>
                <w:sz w:val="16"/>
              </w:rPr>
              <w:t>25.3</w:t>
            </w:r>
          </w:p>
        </w:tc>
      </w:tr>
      <w:tr>
        <w:tc>
          <w:tcPr>
            <w:tcW w:type="dxa" w:w="2304"/>
          </w:tcPr>
          <w:p>
            <w:pPr>
              <w:jc w:val="left"/>
            </w:pPr>
            <w:r>
              <w:rPr>
                <w:rFonts w:ascii="Times New Roman" w:hAnsi="Times New Roman"/>
                <w:b w:val="0"/>
                <w:i w:val="0"/>
                <w:sz w:val="16"/>
              </w:rPr>
              <w:t>Goa</w:t>
            </w:r>
          </w:p>
        </w:tc>
        <w:tc>
          <w:tcPr>
            <w:tcW w:type="dxa" w:w="1584"/>
          </w:tcPr>
          <w:p>
            <w:pPr>
              <w:jc w:val="center"/>
            </w:pPr>
            <w:r>
              <w:rPr>
                <w:rFonts w:ascii="Times New Roman" w:hAnsi="Times New Roman"/>
                <w:b w:val="0"/>
                <w:i w:val="0"/>
                <w:sz w:val="16"/>
              </w:rPr>
              <w:t>69</w:t>
            </w:r>
          </w:p>
        </w:tc>
        <w:tc>
          <w:tcPr>
            <w:tcW w:type="dxa" w:w="1296"/>
          </w:tcPr>
          <w:p>
            <w:pPr>
              <w:jc w:val="center"/>
            </w:pPr>
            <w:r>
              <w:rPr>
                <w:rFonts w:ascii="Times New Roman" w:hAnsi="Times New Roman"/>
                <w:b w:val="0"/>
                <w:i w:val="0"/>
                <w:sz w:val="16"/>
              </w:rPr>
              <w:t>4,634</w:t>
            </w:r>
          </w:p>
        </w:tc>
        <w:tc>
          <w:tcPr>
            <w:tcW w:type="dxa" w:w="1440"/>
          </w:tcPr>
          <w:p>
            <w:pPr>
              <w:jc w:val="center"/>
            </w:pPr>
            <w:r>
              <w:rPr>
                <w:rFonts w:ascii="Times New Roman" w:hAnsi="Times New Roman"/>
                <w:b w:val="0"/>
                <w:i w:val="0"/>
                <w:sz w:val="16"/>
              </w:rPr>
              <w:t>1,315</w:t>
            </w:r>
          </w:p>
        </w:tc>
        <w:tc>
          <w:tcPr>
            <w:tcW w:type="dxa" w:w="1224"/>
          </w:tcPr>
          <w:p>
            <w:pPr>
              <w:jc w:val="center"/>
            </w:pPr>
            <w:r>
              <w:rPr>
                <w:rFonts w:ascii="Times New Roman" w:hAnsi="Times New Roman"/>
                <w:b w:val="0"/>
                <w:i w:val="0"/>
                <w:sz w:val="16"/>
              </w:rPr>
              <w:t>88.7</w:t>
            </w:r>
          </w:p>
        </w:tc>
        <w:tc>
          <w:tcPr>
            <w:tcW w:type="dxa" w:w="1440"/>
          </w:tcPr>
          <w:p>
            <w:pPr>
              <w:jc w:val="center"/>
            </w:pPr>
            <w:r>
              <w:rPr>
                <w:rFonts w:ascii="Times New Roman" w:hAnsi="Times New Roman"/>
                <w:b w:val="0"/>
                <w:i w:val="0"/>
                <w:sz w:val="16"/>
              </w:rPr>
              <w:t>14</w:t>
            </w:r>
          </w:p>
        </w:tc>
        <w:tc>
          <w:tcPr>
            <w:tcW w:type="dxa" w:w="1224"/>
          </w:tcPr>
          <w:p>
            <w:pPr>
              <w:jc w:val="center"/>
            </w:pPr>
            <w:r>
              <w:rPr>
                <w:rFonts w:ascii="Times New Roman" w:hAnsi="Times New Roman"/>
                <w:b w:val="0"/>
                <w:i w:val="0"/>
                <w:sz w:val="16"/>
              </w:rPr>
              <w:t>953</w:t>
            </w:r>
          </w:p>
        </w:tc>
        <w:tc>
          <w:tcPr>
            <w:tcW w:type="dxa" w:w="1584"/>
          </w:tcPr>
          <w:p>
            <w:pPr>
              <w:jc w:val="center"/>
            </w:pPr>
            <w:r>
              <w:rPr>
                <w:rFonts w:ascii="Times New Roman" w:hAnsi="Times New Roman"/>
                <w:b w:val="0"/>
                <w:i w:val="0"/>
                <w:sz w:val="16"/>
              </w:rPr>
              <w:t>20.6</w:t>
            </w:r>
          </w:p>
        </w:tc>
      </w:tr>
      <w:tr>
        <w:tc>
          <w:tcPr>
            <w:tcW w:type="dxa" w:w="2304"/>
            <w:shd w:fill="F5F5F5" w:val="clear"/>
          </w:tcPr>
          <w:p>
            <w:pPr>
              <w:jc w:val="left"/>
            </w:pPr>
            <w:r>
              <w:rPr>
                <w:rFonts w:ascii="Times New Roman" w:hAnsi="Times New Roman"/>
                <w:b w:val="0"/>
                <w:i w:val="0"/>
                <w:sz w:val="16"/>
              </w:rPr>
              <w:t>Gujarat</w:t>
            </w:r>
          </w:p>
        </w:tc>
        <w:tc>
          <w:tcPr>
            <w:tcW w:type="dxa" w:w="1584"/>
            <w:shd w:fill="F5F5F5" w:val="clear"/>
          </w:tcPr>
          <w:p>
            <w:pPr>
              <w:jc w:val="center"/>
            </w:pPr>
            <w:r>
              <w:rPr>
                <w:rFonts w:ascii="Times New Roman" w:hAnsi="Times New Roman"/>
                <w:b w:val="0"/>
                <w:i w:val="0"/>
                <w:sz w:val="16"/>
              </w:rPr>
              <w:t>3,165</w:t>
            </w:r>
          </w:p>
        </w:tc>
        <w:tc>
          <w:tcPr>
            <w:tcW w:type="dxa" w:w="1296"/>
            <w:shd w:fill="F5F5F5" w:val="clear"/>
          </w:tcPr>
          <w:p>
            <w:pPr>
              <w:jc w:val="center"/>
            </w:pPr>
            <w:r>
              <w:rPr>
                <w:rFonts w:ascii="Times New Roman" w:hAnsi="Times New Roman"/>
                <w:b w:val="0"/>
                <w:i w:val="0"/>
                <w:sz w:val="16"/>
              </w:rPr>
              <w:t>4,474</w:t>
            </w:r>
          </w:p>
        </w:tc>
        <w:tc>
          <w:tcPr>
            <w:tcW w:type="dxa" w:w="1440"/>
            <w:shd w:fill="F5F5F5" w:val="clear"/>
          </w:tcPr>
          <w:p>
            <w:pPr>
              <w:jc w:val="center"/>
            </w:pPr>
            <w:r>
              <w:rPr>
                <w:rFonts w:ascii="Times New Roman" w:hAnsi="Times New Roman"/>
                <w:b w:val="0"/>
                <w:i w:val="0"/>
                <w:sz w:val="16"/>
              </w:rPr>
              <w:t>62,661</w:t>
            </w:r>
          </w:p>
        </w:tc>
        <w:tc>
          <w:tcPr>
            <w:tcW w:type="dxa" w:w="1224"/>
            <w:shd w:fill="F5F5F5" w:val="clear"/>
          </w:tcPr>
          <w:p>
            <w:pPr>
              <w:jc w:val="center"/>
            </w:pPr>
            <w:r>
              <w:rPr>
                <w:rFonts w:ascii="Times New Roman" w:hAnsi="Times New Roman"/>
                <w:b w:val="0"/>
                <w:i w:val="0"/>
                <w:sz w:val="16"/>
              </w:rPr>
              <w:t>88.6</w:t>
            </w:r>
          </w:p>
        </w:tc>
        <w:tc>
          <w:tcPr>
            <w:tcW w:type="dxa" w:w="1440"/>
            <w:shd w:fill="F5F5F5" w:val="clear"/>
          </w:tcPr>
          <w:p>
            <w:pPr>
              <w:jc w:val="center"/>
            </w:pPr>
            <w:r>
              <w:rPr>
                <w:rFonts w:ascii="Times New Roman" w:hAnsi="Times New Roman"/>
                <w:b w:val="0"/>
                <w:i w:val="0"/>
                <w:sz w:val="16"/>
              </w:rPr>
              <w:t>504</w:t>
            </w:r>
          </w:p>
        </w:tc>
        <w:tc>
          <w:tcPr>
            <w:tcW w:type="dxa" w:w="1224"/>
            <w:shd w:fill="F5F5F5" w:val="clear"/>
          </w:tcPr>
          <w:p>
            <w:pPr>
              <w:jc w:val="center"/>
            </w:pPr>
            <w:r>
              <w:rPr>
                <w:rFonts w:ascii="Times New Roman" w:hAnsi="Times New Roman"/>
                <w:b w:val="0"/>
                <w:i w:val="0"/>
                <w:sz w:val="16"/>
              </w:rPr>
              <w:t>712</w:t>
            </w:r>
          </w:p>
        </w:tc>
        <w:tc>
          <w:tcPr>
            <w:tcW w:type="dxa" w:w="1584"/>
            <w:shd w:fill="F5F5F5" w:val="clear"/>
          </w:tcPr>
          <w:p>
            <w:pPr>
              <w:jc w:val="center"/>
            </w:pPr>
            <w:r>
              <w:rPr>
                <w:rFonts w:ascii="Times New Roman" w:hAnsi="Times New Roman"/>
                <w:b w:val="0"/>
                <w:i w:val="0"/>
                <w:sz w:val="16"/>
              </w:rPr>
              <w:t>15.9</w:t>
            </w:r>
          </w:p>
        </w:tc>
      </w:tr>
      <w:tr>
        <w:tc>
          <w:tcPr>
            <w:tcW w:type="dxa" w:w="2304"/>
          </w:tcPr>
          <w:p>
            <w:pPr>
              <w:jc w:val="left"/>
            </w:pPr>
            <w:r>
              <w:rPr>
                <w:rFonts w:ascii="Times New Roman" w:hAnsi="Times New Roman"/>
                <w:b w:val="0"/>
                <w:i w:val="0"/>
                <w:sz w:val="16"/>
              </w:rPr>
              <w:t>Haryana</w:t>
            </w:r>
          </w:p>
        </w:tc>
        <w:tc>
          <w:tcPr>
            <w:tcW w:type="dxa" w:w="1584"/>
          </w:tcPr>
          <w:p>
            <w:pPr>
              <w:jc w:val="center"/>
            </w:pPr>
            <w:r>
              <w:rPr>
                <w:rFonts w:ascii="Times New Roman" w:hAnsi="Times New Roman"/>
                <w:b w:val="0"/>
                <w:i w:val="0"/>
                <w:sz w:val="16"/>
              </w:rPr>
              <w:t>1,353</w:t>
            </w:r>
          </w:p>
        </w:tc>
        <w:tc>
          <w:tcPr>
            <w:tcW w:type="dxa" w:w="1296"/>
          </w:tcPr>
          <w:p>
            <w:pPr>
              <w:jc w:val="center"/>
            </w:pPr>
            <w:r>
              <w:rPr>
                <w:rFonts w:ascii="Times New Roman" w:hAnsi="Times New Roman"/>
                <w:b w:val="0"/>
                <w:i w:val="0"/>
                <w:sz w:val="16"/>
              </w:rPr>
              <w:t>4,641</w:t>
            </w:r>
          </w:p>
        </w:tc>
        <w:tc>
          <w:tcPr>
            <w:tcW w:type="dxa" w:w="1440"/>
          </w:tcPr>
          <w:p>
            <w:pPr>
              <w:jc w:val="center"/>
            </w:pPr>
            <w:r>
              <w:rPr>
                <w:rFonts w:ascii="Times New Roman" w:hAnsi="Times New Roman"/>
                <w:b w:val="0"/>
                <w:i w:val="0"/>
                <w:sz w:val="16"/>
              </w:rPr>
              <w:t>25,308</w:t>
            </w:r>
          </w:p>
        </w:tc>
        <w:tc>
          <w:tcPr>
            <w:tcW w:type="dxa" w:w="1224"/>
          </w:tcPr>
          <w:p>
            <w:pPr>
              <w:jc w:val="center"/>
            </w:pPr>
            <w:r>
              <w:rPr>
                <w:rFonts w:ascii="Times New Roman" w:hAnsi="Times New Roman"/>
                <w:b w:val="0"/>
                <w:i w:val="0"/>
                <w:sz w:val="16"/>
              </w:rPr>
              <w:t>86.8</w:t>
            </w:r>
          </w:p>
        </w:tc>
        <w:tc>
          <w:tcPr>
            <w:tcW w:type="dxa" w:w="1440"/>
          </w:tcPr>
          <w:p>
            <w:pPr>
              <w:jc w:val="center"/>
            </w:pPr>
            <w:r>
              <w:rPr>
                <w:rFonts w:ascii="Times New Roman" w:hAnsi="Times New Roman"/>
                <w:b w:val="0"/>
                <w:i w:val="0"/>
                <w:sz w:val="16"/>
              </w:rPr>
              <w:t>236</w:t>
            </w:r>
          </w:p>
        </w:tc>
        <w:tc>
          <w:tcPr>
            <w:tcW w:type="dxa" w:w="1224"/>
          </w:tcPr>
          <w:p>
            <w:pPr>
              <w:jc w:val="center"/>
            </w:pPr>
            <w:r>
              <w:rPr>
                <w:rFonts w:ascii="Times New Roman" w:hAnsi="Times New Roman"/>
                <w:b w:val="0"/>
                <w:i w:val="0"/>
                <w:sz w:val="16"/>
              </w:rPr>
              <w:t>808</w:t>
            </w:r>
          </w:p>
        </w:tc>
        <w:tc>
          <w:tcPr>
            <w:tcW w:type="dxa" w:w="1584"/>
          </w:tcPr>
          <w:p>
            <w:pPr>
              <w:jc w:val="center"/>
            </w:pPr>
            <w:r>
              <w:rPr>
                <w:rFonts w:ascii="Times New Roman" w:hAnsi="Times New Roman"/>
                <w:b w:val="0"/>
                <w:i w:val="0"/>
                <w:sz w:val="16"/>
              </w:rPr>
              <w:t>17.4</w:t>
            </w:r>
          </w:p>
        </w:tc>
      </w:tr>
      <w:tr>
        <w:tc>
          <w:tcPr>
            <w:tcW w:type="dxa" w:w="2304"/>
            <w:shd w:fill="F5F5F5" w:val="clear"/>
          </w:tcPr>
          <w:p>
            <w:pPr>
              <w:jc w:val="left"/>
            </w:pPr>
            <w:r>
              <w:rPr>
                <w:rFonts w:ascii="Times New Roman" w:hAnsi="Times New Roman"/>
                <w:b w:val="0"/>
                <w:i w:val="0"/>
                <w:sz w:val="16"/>
              </w:rPr>
              <w:t>Himachal Pradesh</w:t>
            </w:r>
          </w:p>
        </w:tc>
        <w:tc>
          <w:tcPr>
            <w:tcW w:type="dxa" w:w="1584"/>
            <w:shd w:fill="F5F5F5" w:val="clear"/>
          </w:tcPr>
          <w:p>
            <w:pPr>
              <w:jc w:val="center"/>
            </w:pPr>
            <w:r>
              <w:rPr>
                <w:rFonts w:ascii="Times New Roman" w:hAnsi="Times New Roman"/>
                <w:b w:val="0"/>
                <w:i w:val="0"/>
                <w:sz w:val="16"/>
              </w:rPr>
              <w:t>244</w:t>
            </w:r>
          </w:p>
        </w:tc>
        <w:tc>
          <w:tcPr>
            <w:tcW w:type="dxa" w:w="1296"/>
            <w:shd w:fill="F5F5F5" w:val="clear"/>
          </w:tcPr>
          <w:p>
            <w:pPr>
              <w:jc w:val="center"/>
            </w:pPr>
            <w:r>
              <w:rPr>
                <w:rFonts w:ascii="Times New Roman" w:hAnsi="Times New Roman"/>
                <w:b w:val="0"/>
                <w:i w:val="0"/>
                <w:sz w:val="16"/>
              </w:rPr>
              <w:t>3,162</w:t>
            </w:r>
          </w:p>
        </w:tc>
        <w:tc>
          <w:tcPr>
            <w:tcW w:type="dxa" w:w="1440"/>
            <w:shd w:fill="F5F5F5" w:val="clear"/>
          </w:tcPr>
          <w:p>
            <w:pPr>
              <w:jc w:val="center"/>
            </w:pPr>
            <w:r>
              <w:rPr>
                <w:rFonts w:ascii="Times New Roman" w:hAnsi="Times New Roman"/>
                <w:b w:val="0"/>
                <w:i w:val="0"/>
                <w:sz w:val="16"/>
              </w:rPr>
              <w:t>4,452</w:t>
            </w:r>
          </w:p>
        </w:tc>
        <w:tc>
          <w:tcPr>
            <w:tcW w:type="dxa" w:w="1224"/>
            <w:shd w:fill="F5F5F5" w:val="clear"/>
          </w:tcPr>
          <w:p>
            <w:pPr>
              <w:jc w:val="center"/>
            </w:pPr>
            <w:r>
              <w:rPr>
                <w:rFonts w:ascii="Times New Roman" w:hAnsi="Times New Roman"/>
                <w:b w:val="0"/>
                <w:i w:val="0"/>
                <w:sz w:val="16"/>
              </w:rPr>
              <w:t>57.8</w:t>
            </w:r>
          </w:p>
        </w:tc>
        <w:tc>
          <w:tcPr>
            <w:tcW w:type="dxa" w:w="1440"/>
            <w:shd w:fill="F5F5F5" w:val="clear"/>
          </w:tcPr>
          <w:p>
            <w:pPr>
              <w:jc w:val="center"/>
            </w:pPr>
            <w:r>
              <w:rPr>
                <w:rFonts w:ascii="Times New Roman" w:hAnsi="Times New Roman"/>
                <w:b w:val="0"/>
                <w:i w:val="0"/>
                <w:sz w:val="16"/>
              </w:rPr>
              <w:t>67</w:t>
            </w:r>
          </w:p>
        </w:tc>
        <w:tc>
          <w:tcPr>
            <w:tcW w:type="dxa" w:w="1224"/>
            <w:shd w:fill="F5F5F5" w:val="clear"/>
          </w:tcPr>
          <w:p>
            <w:pPr>
              <w:jc w:val="center"/>
            </w:pPr>
            <w:r>
              <w:rPr>
                <w:rFonts w:ascii="Times New Roman" w:hAnsi="Times New Roman"/>
                <w:b w:val="0"/>
                <w:i w:val="0"/>
                <w:sz w:val="16"/>
              </w:rPr>
              <w:t>870</w:t>
            </w:r>
          </w:p>
        </w:tc>
        <w:tc>
          <w:tcPr>
            <w:tcW w:type="dxa" w:w="1584"/>
            <w:shd w:fill="F5F5F5" w:val="clear"/>
          </w:tcPr>
          <w:p>
            <w:pPr>
              <w:jc w:val="center"/>
            </w:pPr>
            <w:r>
              <w:rPr>
                <w:rFonts w:ascii="Times New Roman" w:hAnsi="Times New Roman"/>
                <w:b w:val="0"/>
                <w:i w:val="0"/>
                <w:sz w:val="16"/>
              </w:rPr>
              <w:t>27.5</w:t>
            </w:r>
          </w:p>
        </w:tc>
      </w:tr>
      <w:tr>
        <w:tc>
          <w:tcPr>
            <w:tcW w:type="dxa" w:w="2304"/>
          </w:tcPr>
          <w:p>
            <w:pPr>
              <w:jc w:val="left"/>
            </w:pPr>
            <w:r>
              <w:rPr>
                <w:rFonts w:ascii="Times New Roman" w:hAnsi="Times New Roman"/>
                <w:b w:val="0"/>
                <w:i w:val="0"/>
                <w:sz w:val="16"/>
              </w:rPr>
              <w:t>J&amp;K and Ladakh</w:t>
            </w:r>
          </w:p>
        </w:tc>
        <w:tc>
          <w:tcPr>
            <w:tcW w:type="dxa" w:w="1584"/>
          </w:tcPr>
          <w:p>
            <w:pPr>
              <w:jc w:val="center"/>
            </w:pPr>
            <w:r>
              <w:rPr>
                <w:rFonts w:ascii="Times New Roman" w:hAnsi="Times New Roman"/>
                <w:b w:val="0"/>
                <w:i w:val="0"/>
                <w:sz w:val="16"/>
              </w:rPr>
              <w:t>379</w:t>
            </w:r>
          </w:p>
        </w:tc>
        <w:tc>
          <w:tcPr>
            <w:tcW w:type="dxa" w:w="1296"/>
          </w:tcPr>
          <w:p>
            <w:pPr>
              <w:jc w:val="center"/>
            </w:pPr>
            <w:r>
              <w:rPr>
                <w:rFonts w:ascii="Times New Roman" w:hAnsi="Times New Roman"/>
                <w:b w:val="0"/>
                <w:i w:val="0"/>
                <w:sz w:val="16"/>
              </w:rPr>
              <w:t>2,692</w:t>
            </w:r>
          </w:p>
        </w:tc>
        <w:tc>
          <w:tcPr>
            <w:tcW w:type="dxa" w:w="1440"/>
          </w:tcPr>
          <w:p>
            <w:pPr>
              <w:jc w:val="center"/>
            </w:pPr>
            <w:r>
              <w:rPr>
                <w:rFonts w:ascii="Times New Roman" w:hAnsi="Times New Roman"/>
                <w:b w:val="0"/>
                <w:i w:val="0"/>
                <w:sz w:val="16"/>
              </w:rPr>
              <w:t>6,149</w:t>
            </w:r>
          </w:p>
        </w:tc>
        <w:tc>
          <w:tcPr>
            <w:tcW w:type="dxa" w:w="1224"/>
          </w:tcPr>
          <w:p>
            <w:pPr>
              <w:jc w:val="center"/>
            </w:pPr>
            <w:r>
              <w:rPr>
                <w:rFonts w:ascii="Times New Roman" w:hAnsi="Times New Roman"/>
                <w:b w:val="0"/>
                <w:i w:val="0"/>
                <w:sz w:val="16"/>
              </w:rPr>
              <w:t>43.7</w:t>
            </w:r>
          </w:p>
        </w:tc>
        <w:tc>
          <w:tcPr>
            <w:tcW w:type="dxa" w:w="1440"/>
          </w:tcPr>
          <w:p>
            <w:pPr>
              <w:jc w:val="center"/>
            </w:pPr>
            <w:r>
              <w:rPr>
                <w:rFonts w:ascii="Times New Roman" w:hAnsi="Times New Roman"/>
                <w:b w:val="0"/>
                <w:i w:val="0"/>
                <w:sz w:val="16"/>
              </w:rPr>
              <w:t>106</w:t>
            </w:r>
          </w:p>
        </w:tc>
        <w:tc>
          <w:tcPr>
            <w:tcW w:type="dxa" w:w="1224"/>
          </w:tcPr>
          <w:p>
            <w:pPr>
              <w:jc w:val="center"/>
            </w:pPr>
            <w:r>
              <w:rPr>
                <w:rFonts w:ascii="Times New Roman" w:hAnsi="Times New Roman"/>
                <w:b w:val="0"/>
                <w:i w:val="0"/>
                <w:sz w:val="16"/>
              </w:rPr>
              <w:t>756</w:t>
            </w:r>
          </w:p>
        </w:tc>
        <w:tc>
          <w:tcPr>
            <w:tcW w:type="dxa" w:w="1584"/>
          </w:tcPr>
          <w:p>
            <w:pPr>
              <w:jc w:val="center"/>
            </w:pPr>
            <w:r>
              <w:rPr>
                <w:rFonts w:ascii="Times New Roman" w:hAnsi="Times New Roman"/>
                <w:b w:val="0"/>
                <w:i w:val="0"/>
                <w:sz w:val="16"/>
              </w:rPr>
              <w:t>28.1</w:t>
            </w:r>
          </w:p>
        </w:tc>
      </w:tr>
      <w:tr>
        <w:tc>
          <w:tcPr>
            <w:tcW w:type="dxa" w:w="2304"/>
            <w:shd w:fill="F5F5F5" w:val="clear"/>
          </w:tcPr>
          <w:p>
            <w:pPr>
              <w:jc w:val="left"/>
            </w:pPr>
            <w:r>
              <w:rPr>
                <w:rFonts w:ascii="Times New Roman" w:hAnsi="Times New Roman"/>
                <w:b w:val="0"/>
                <w:i w:val="0"/>
                <w:sz w:val="16"/>
              </w:rPr>
              <w:t>Jharkhand</w:t>
            </w:r>
          </w:p>
        </w:tc>
        <w:tc>
          <w:tcPr>
            <w:tcW w:type="dxa" w:w="1584"/>
            <w:shd w:fill="F5F5F5" w:val="clear"/>
          </w:tcPr>
          <w:p>
            <w:pPr>
              <w:jc w:val="center"/>
            </w:pPr>
            <w:r>
              <w:rPr>
                <w:rFonts w:ascii="Times New Roman" w:hAnsi="Times New Roman"/>
                <w:b w:val="0"/>
                <w:i w:val="0"/>
                <w:sz w:val="16"/>
              </w:rPr>
              <w:t>1,545</w:t>
            </w:r>
          </w:p>
        </w:tc>
        <w:tc>
          <w:tcPr>
            <w:tcW w:type="dxa" w:w="1296"/>
            <w:shd w:fill="F5F5F5" w:val="clear"/>
          </w:tcPr>
          <w:p>
            <w:pPr>
              <w:jc w:val="center"/>
            </w:pPr>
            <w:r>
              <w:rPr>
                <w:rFonts w:ascii="Times New Roman" w:hAnsi="Times New Roman"/>
                <w:b w:val="0"/>
                <w:i w:val="0"/>
                <w:sz w:val="16"/>
              </w:rPr>
              <w:t>3,959</w:t>
            </w:r>
          </w:p>
        </w:tc>
        <w:tc>
          <w:tcPr>
            <w:tcW w:type="dxa" w:w="1440"/>
            <w:shd w:fill="F5F5F5" w:val="clear"/>
          </w:tcPr>
          <w:p>
            <w:pPr>
              <w:jc w:val="center"/>
            </w:pPr>
            <w:r>
              <w:rPr>
                <w:rFonts w:ascii="Times New Roman" w:hAnsi="Times New Roman"/>
                <w:b w:val="0"/>
                <w:i w:val="0"/>
                <w:sz w:val="16"/>
              </w:rPr>
              <w:t>28,137</w:t>
            </w:r>
          </w:p>
        </w:tc>
        <w:tc>
          <w:tcPr>
            <w:tcW w:type="dxa" w:w="1224"/>
            <w:shd w:fill="F5F5F5" w:val="clear"/>
          </w:tcPr>
          <w:p>
            <w:pPr>
              <w:jc w:val="center"/>
            </w:pPr>
            <w:r>
              <w:rPr>
                <w:rFonts w:ascii="Times New Roman" w:hAnsi="Times New Roman"/>
                <w:b w:val="0"/>
                <w:i w:val="0"/>
                <w:sz w:val="16"/>
              </w:rPr>
              <w:t>72.1</w:t>
            </w:r>
          </w:p>
        </w:tc>
        <w:tc>
          <w:tcPr>
            <w:tcW w:type="dxa" w:w="1440"/>
            <w:shd w:fill="F5F5F5" w:val="clear"/>
          </w:tcPr>
          <w:p>
            <w:pPr>
              <w:jc w:val="center"/>
            </w:pPr>
            <w:r>
              <w:rPr>
                <w:rFonts w:ascii="Times New Roman" w:hAnsi="Times New Roman"/>
                <w:b w:val="0"/>
                <w:i w:val="0"/>
                <w:sz w:val="16"/>
              </w:rPr>
              <w:t>233</w:t>
            </w:r>
          </w:p>
        </w:tc>
        <w:tc>
          <w:tcPr>
            <w:tcW w:type="dxa" w:w="1224"/>
            <w:shd w:fill="F5F5F5" w:val="clear"/>
          </w:tcPr>
          <w:p>
            <w:pPr>
              <w:jc w:val="center"/>
            </w:pPr>
            <w:r>
              <w:rPr>
                <w:rFonts w:ascii="Times New Roman" w:hAnsi="Times New Roman"/>
                <w:b w:val="0"/>
                <w:i w:val="0"/>
                <w:sz w:val="16"/>
              </w:rPr>
              <w:t>597</w:t>
            </w:r>
          </w:p>
        </w:tc>
        <w:tc>
          <w:tcPr>
            <w:tcW w:type="dxa" w:w="1584"/>
            <w:shd w:fill="F5F5F5" w:val="clear"/>
          </w:tcPr>
          <w:p>
            <w:pPr>
              <w:jc w:val="center"/>
            </w:pPr>
            <w:r>
              <w:rPr>
                <w:rFonts w:ascii="Times New Roman" w:hAnsi="Times New Roman"/>
                <w:b w:val="0"/>
                <w:i w:val="0"/>
                <w:sz w:val="16"/>
              </w:rPr>
              <w:t>15.1</w:t>
            </w:r>
          </w:p>
        </w:tc>
      </w:tr>
      <w:tr>
        <w:tc>
          <w:tcPr>
            <w:tcW w:type="dxa" w:w="2304"/>
          </w:tcPr>
          <w:p>
            <w:pPr>
              <w:jc w:val="left"/>
            </w:pPr>
            <w:r>
              <w:rPr>
                <w:rFonts w:ascii="Times New Roman" w:hAnsi="Times New Roman"/>
                <w:b w:val="0"/>
                <w:i w:val="0"/>
                <w:sz w:val="16"/>
              </w:rPr>
              <w:t>Karnataka</w:t>
            </w:r>
          </w:p>
        </w:tc>
        <w:tc>
          <w:tcPr>
            <w:tcW w:type="dxa" w:w="1584"/>
          </w:tcPr>
          <w:p>
            <w:pPr>
              <w:jc w:val="center"/>
            </w:pPr>
            <w:r>
              <w:rPr>
                <w:rFonts w:ascii="Times New Roman" w:hAnsi="Times New Roman"/>
                <w:b w:val="0"/>
                <w:i w:val="0"/>
                <w:sz w:val="16"/>
              </w:rPr>
              <w:t>3,150</w:t>
            </w:r>
          </w:p>
        </w:tc>
        <w:tc>
          <w:tcPr>
            <w:tcW w:type="dxa" w:w="1296"/>
          </w:tcPr>
          <w:p>
            <w:pPr>
              <w:jc w:val="center"/>
            </w:pPr>
            <w:r>
              <w:rPr>
                <w:rFonts w:ascii="Times New Roman" w:hAnsi="Times New Roman"/>
                <w:b w:val="0"/>
                <w:i w:val="0"/>
                <w:sz w:val="16"/>
              </w:rPr>
              <w:t>4,630</w:t>
            </w:r>
          </w:p>
        </w:tc>
        <w:tc>
          <w:tcPr>
            <w:tcW w:type="dxa" w:w="1440"/>
          </w:tcPr>
          <w:p>
            <w:pPr>
              <w:jc w:val="center"/>
            </w:pPr>
            <w:r>
              <w:rPr>
                <w:rFonts w:ascii="Times New Roman" w:hAnsi="Times New Roman"/>
                <w:b w:val="0"/>
                <w:i w:val="0"/>
                <w:sz w:val="16"/>
              </w:rPr>
              <w:t>56,307</w:t>
            </w:r>
          </w:p>
        </w:tc>
        <w:tc>
          <w:tcPr>
            <w:tcW w:type="dxa" w:w="1224"/>
          </w:tcPr>
          <w:p>
            <w:pPr>
              <w:jc w:val="center"/>
            </w:pPr>
            <w:r>
              <w:rPr>
                <w:rFonts w:ascii="Times New Roman" w:hAnsi="Times New Roman"/>
                <w:b w:val="0"/>
                <w:i w:val="0"/>
                <w:sz w:val="16"/>
              </w:rPr>
              <w:t>82.8</w:t>
            </w:r>
          </w:p>
        </w:tc>
        <w:tc>
          <w:tcPr>
            <w:tcW w:type="dxa" w:w="1440"/>
          </w:tcPr>
          <w:p>
            <w:pPr>
              <w:jc w:val="center"/>
            </w:pPr>
            <w:r>
              <w:rPr>
                <w:rFonts w:ascii="Times New Roman" w:hAnsi="Times New Roman"/>
                <w:b w:val="0"/>
                <w:i w:val="0"/>
                <w:sz w:val="16"/>
              </w:rPr>
              <w:t>609</w:t>
            </w:r>
          </w:p>
        </w:tc>
        <w:tc>
          <w:tcPr>
            <w:tcW w:type="dxa" w:w="1224"/>
          </w:tcPr>
          <w:p>
            <w:pPr>
              <w:jc w:val="center"/>
            </w:pPr>
            <w:r>
              <w:rPr>
                <w:rFonts w:ascii="Times New Roman" w:hAnsi="Times New Roman"/>
                <w:b w:val="0"/>
                <w:i w:val="0"/>
                <w:sz w:val="16"/>
              </w:rPr>
              <w:t>895</w:t>
            </w:r>
          </w:p>
        </w:tc>
        <w:tc>
          <w:tcPr>
            <w:tcW w:type="dxa" w:w="1584"/>
          </w:tcPr>
          <w:p>
            <w:pPr>
              <w:jc w:val="center"/>
            </w:pPr>
            <w:r>
              <w:rPr>
                <w:rFonts w:ascii="Times New Roman" w:hAnsi="Times New Roman"/>
                <w:b w:val="0"/>
                <w:i w:val="0"/>
                <w:sz w:val="16"/>
              </w:rPr>
              <w:t>19.3</w:t>
            </w:r>
          </w:p>
        </w:tc>
      </w:tr>
      <w:tr>
        <w:tc>
          <w:tcPr>
            <w:tcW w:type="dxa" w:w="2304"/>
            <w:shd w:fill="F5F5F5" w:val="clear"/>
          </w:tcPr>
          <w:p>
            <w:pPr>
              <w:jc w:val="left"/>
            </w:pPr>
            <w:r>
              <w:rPr>
                <w:rFonts w:ascii="Times New Roman" w:hAnsi="Times New Roman"/>
                <w:b w:val="0"/>
                <w:i w:val="0"/>
                <w:sz w:val="16"/>
              </w:rPr>
              <w:t>Kerala</w:t>
            </w:r>
          </w:p>
        </w:tc>
        <w:tc>
          <w:tcPr>
            <w:tcW w:type="dxa" w:w="1584"/>
            <w:shd w:fill="F5F5F5" w:val="clear"/>
          </w:tcPr>
          <w:p>
            <w:pPr>
              <w:jc w:val="center"/>
            </w:pPr>
            <w:r>
              <w:rPr>
                <w:rFonts w:ascii="Times New Roman" w:hAnsi="Times New Roman"/>
                <w:b w:val="0"/>
                <w:i w:val="0"/>
                <w:sz w:val="16"/>
              </w:rPr>
              <w:t>943</w:t>
            </w:r>
          </w:p>
        </w:tc>
        <w:tc>
          <w:tcPr>
            <w:tcW w:type="dxa" w:w="1296"/>
            <w:shd w:fill="F5F5F5" w:val="clear"/>
          </w:tcPr>
          <w:p>
            <w:pPr>
              <w:jc w:val="center"/>
            </w:pPr>
            <w:r>
              <w:rPr>
                <w:rFonts w:ascii="Times New Roman" w:hAnsi="Times New Roman"/>
                <w:b w:val="0"/>
                <w:i w:val="0"/>
                <w:sz w:val="16"/>
              </w:rPr>
              <w:t>2,678</w:t>
            </w:r>
          </w:p>
        </w:tc>
        <w:tc>
          <w:tcPr>
            <w:tcW w:type="dxa" w:w="1440"/>
            <w:shd w:fill="F5F5F5" w:val="clear"/>
          </w:tcPr>
          <w:p>
            <w:pPr>
              <w:jc w:val="center"/>
            </w:pPr>
            <w:r>
              <w:rPr>
                <w:rFonts w:ascii="Times New Roman" w:hAnsi="Times New Roman"/>
                <w:b w:val="0"/>
                <w:i w:val="0"/>
                <w:sz w:val="16"/>
              </w:rPr>
              <w:t>18,827</w:t>
            </w:r>
          </w:p>
        </w:tc>
        <w:tc>
          <w:tcPr>
            <w:tcW w:type="dxa" w:w="1224"/>
            <w:shd w:fill="F5F5F5" w:val="clear"/>
          </w:tcPr>
          <w:p>
            <w:pPr>
              <w:jc w:val="center"/>
            </w:pPr>
            <w:r>
              <w:rPr>
                <w:rFonts w:ascii="Times New Roman" w:hAnsi="Times New Roman"/>
                <w:b w:val="0"/>
                <w:i w:val="0"/>
                <w:sz w:val="16"/>
              </w:rPr>
              <w:t>53.4</w:t>
            </w:r>
          </w:p>
        </w:tc>
        <w:tc>
          <w:tcPr>
            <w:tcW w:type="dxa" w:w="1440"/>
            <w:shd w:fill="F5F5F5" w:val="clear"/>
          </w:tcPr>
          <w:p>
            <w:pPr>
              <w:jc w:val="center"/>
            </w:pPr>
            <w:r>
              <w:rPr>
                <w:rFonts w:ascii="Times New Roman" w:hAnsi="Times New Roman"/>
                <w:b w:val="0"/>
                <w:i w:val="0"/>
                <w:sz w:val="16"/>
              </w:rPr>
              <w:t>294</w:t>
            </w:r>
          </w:p>
        </w:tc>
        <w:tc>
          <w:tcPr>
            <w:tcW w:type="dxa" w:w="1224"/>
            <w:shd w:fill="F5F5F5" w:val="clear"/>
          </w:tcPr>
          <w:p>
            <w:pPr>
              <w:jc w:val="center"/>
            </w:pPr>
            <w:r>
              <w:rPr>
                <w:rFonts w:ascii="Times New Roman" w:hAnsi="Times New Roman"/>
                <w:b w:val="0"/>
                <w:i w:val="0"/>
                <w:sz w:val="16"/>
              </w:rPr>
              <w:t>836</w:t>
            </w:r>
          </w:p>
        </w:tc>
        <w:tc>
          <w:tcPr>
            <w:tcW w:type="dxa" w:w="1584"/>
            <w:shd w:fill="F5F5F5" w:val="clear"/>
          </w:tcPr>
          <w:p>
            <w:pPr>
              <w:jc w:val="center"/>
            </w:pPr>
            <w:r>
              <w:rPr>
                <w:rFonts w:ascii="Times New Roman" w:hAnsi="Times New Roman"/>
                <w:b w:val="0"/>
                <w:i w:val="0"/>
                <w:sz w:val="16"/>
              </w:rPr>
              <w:t>31.2</w:t>
            </w:r>
          </w:p>
        </w:tc>
      </w:tr>
      <w:tr>
        <w:tc>
          <w:tcPr>
            <w:tcW w:type="dxa" w:w="2304"/>
          </w:tcPr>
          <w:p>
            <w:pPr>
              <w:jc w:val="left"/>
            </w:pPr>
            <w:r>
              <w:rPr>
                <w:rFonts w:ascii="Times New Roman" w:hAnsi="Times New Roman"/>
                <w:b w:val="0"/>
                <w:i w:val="0"/>
                <w:sz w:val="16"/>
              </w:rPr>
              <w:t>Madhya Pradesh</w:t>
            </w:r>
          </w:p>
        </w:tc>
        <w:tc>
          <w:tcPr>
            <w:tcW w:type="dxa" w:w="1584"/>
          </w:tcPr>
          <w:p>
            <w:pPr>
              <w:jc w:val="center"/>
            </w:pPr>
            <w:r>
              <w:rPr>
                <w:rFonts w:ascii="Times New Roman" w:hAnsi="Times New Roman"/>
                <w:b w:val="0"/>
                <w:i w:val="0"/>
                <w:sz w:val="16"/>
              </w:rPr>
              <w:t>3,995</w:t>
            </w:r>
          </w:p>
        </w:tc>
        <w:tc>
          <w:tcPr>
            <w:tcW w:type="dxa" w:w="1296"/>
          </w:tcPr>
          <w:p>
            <w:pPr>
              <w:jc w:val="center"/>
            </w:pPr>
            <w:r>
              <w:rPr>
                <w:rFonts w:ascii="Times New Roman" w:hAnsi="Times New Roman"/>
                <w:b w:val="0"/>
                <w:i w:val="0"/>
                <w:sz w:val="16"/>
              </w:rPr>
              <w:t>4,358</w:t>
            </w:r>
          </w:p>
        </w:tc>
        <w:tc>
          <w:tcPr>
            <w:tcW w:type="dxa" w:w="1440"/>
          </w:tcPr>
          <w:p>
            <w:pPr>
              <w:jc w:val="center"/>
            </w:pPr>
            <w:r>
              <w:rPr>
                <w:rFonts w:ascii="Times New Roman" w:hAnsi="Times New Roman"/>
                <w:b w:val="0"/>
                <w:i w:val="0"/>
                <w:sz w:val="16"/>
              </w:rPr>
              <w:t>67,773</w:t>
            </w:r>
          </w:p>
        </w:tc>
        <w:tc>
          <w:tcPr>
            <w:tcW w:type="dxa" w:w="1224"/>
          </w:tcPr>
          <w:p>
            <w:pPr>
              <w:jc w:val="center"/>
            </w:pPr>
            <w:r>
              <w:rPr>
                <w:rFonts w:ascii="Times New Roman" w:hAnsi="Times New Roman"/>
                <w:b w:val="0"/>
                <w:i w:val="0"/>
                <w:sz w:val="16"/>
              </w:rPr>
              <w:t>73.9</w:t>
            </w:r>
          </w:p>
        </w:tc>
        <w:tc>
          <w:tcPr>
            <w:tcW w:type="dxa" w:w="1440"/>
          </w:tcPr>
          <w:p>
            <w:pPr>
              <w:jc w:val="center"/>
            </w:pPr>
            <w:r>
              <w:rPr>
                <w:rFonts w:ascii="Times New Roman" w:hAnsi="Times New Roman"/>
                <w:b w:val="0"/>
                <w:i w:val="0"/>
                <w:sz w:val="16"/>
              </w:rPr>
              <w:t>582</w:t>
            </w:r>
          </w:p>
        </w:tc>
        <w:tc>
          <w:tcPr>
            <w:tcW w:type="dxa" w:w="1224"/>
          </w:tcPr>
          <w:p>
            <w:pPr>
              <w:jc w:val="center"/>
            </w:pPr>
            <w:r>
              <w:rPr>
                <w:rFonts w:ascii="Times New Roman" w:hAnsi="Times New Roman"/>
                <w:b w:val="0"/>
                <w:i w:val="0"/>
                <w:sz w:val="16"/>
              </w:rPr>
              <w:t>635</w:t>
            </w:r>
          </w:p>
        </w:tc>
        <w:tc>
          <w:tcPr>
            <w:tcW w:type="dxa" w:w="1584"/>
          </w:tcPr>
          <w:p>
            <w:pPr>
              <w:jc w:val="center"/>
            </w:pPr>
            <w:r>
              <w:rPr>
                <w:rFonts w:ascii="Times New Roman" w:hAnsi="Times New Roman"/>
                <w:b w:val="0"/>
                <w:i w:val="0"/>
                <w:sz w:val="16"/>
              </w:rPr>
              <w:t>14.6</w:t>
            </w:r>
          </w:p>
        </w:tc>
      </w:tr>
      <w:tr>
        <w:tc>
          <w:tcPr>
            <w:tcW w:type="dxa" w:w="2304"/>
            <w:shd w:fill="F5F5F5" w:val="clear"/>
          </w:tcPr>
          <w:p>
            <w:pPr>
              <w:jc w:val="left"/>
            </w:pPr>
            <w:r>
              <w:rPr>
                <w:rFonts w:ascii="Times New Roman" w:hAnsi="Times New Roman"/>
                <w:b w:val="0"/>
                <w:i w:val="0"/>
                <w:sz w:val="16"/>
              </w:rPr>
              <w:t>Maharashtra</w:t>
            </w:r>
          </w:p>
        </w:tc>
        <w:tc>
          <w:tcPr>
            <w:tcW w:type="dxa" w:w="1584"/>
            <w:shd w:fill="F5F5F5" w:val="clear"/>
          </w:tcPr>
          <w:p>
            <w:pPr>
              <w:jc w:val="center"/>
            </w:pPr>
            <w:r>
              <w:rPr>
                <w:rFonts w:ascii="Times New Roman" w:hAnsi="Times New Roman"/>
                <w:b w:val="0"/>
                <w:i w:val="0"/>
                <w:sz w:val="16"/>
              </w:rPr>
              <w:t>3,990</w:t>
            </w:r>
          </w:p>
        </w:tc>
        <w:tc>
          <w:tcPr>
            <w:tcW w:type="dxa" w:w="1296"/>
            <w:shd w:fill="F5F5F5" w:val="clear"/>
          </w:tcPr>
          <w:p>
            <w:pPr>
              <w:jc w:val="center"/>
            </w:pPr>
            <w:r>
              <w:rPr>
                <w:rFonts w:ascii="Times New Roman" w:hAnsi="Times New Roman"/>
                <w:b w:val="0"/>
                <w:i w:val="0"/>
                <w:sz w:val="16"/>
              </w:rPr>
              <w:t>3,180</w:t>
            </w:r>
          </w:p>
        </w:tc>
        <w:tc>
          <w:tcPr>
            <w:tcW w:type="dxa" w:w="1440"/>
            <w:shd w:fill="F5F5F5" w:val="clear"/>
          </w:tcPr>
          <w:p>
            <w:pPr>
              <w:jc w:val="center"/>
            </w:pPr>
            <w:r>
              <w:rPr>
                <w:rFonts w:ascii="Times New Roman" w:hAnsi="Times New Roman"/>
                <w:b w:val="0"/>
                <w:i w:val="0"/>
                <w:sz w:val="16"/>
              </w:rPr>
              <w:t>71,147</w:t>
            </w:r>
          </w:p>
        </w:tc>
        <w:tc>
          <w:tcPr>
            <w:tcW w:type="dxa" w:w="1224"/>
            <w:shd w:fill="F5F5F5" w:val="clear"/>
          </w:tcPr>
          <w:p>
            <w:pPr>
              <w:jc w:val="center"/>
            </w:pPr>
            <w:r>
              <w:rPr>
                <w:rFonts w:ascii="Times New Roman" w:hAnsi="Times New Roman"/>
                <w:b w:val="0"/>
                <w:i w:val="0"/>
                <w:sz w:val="16"/>
              </w:rPr>
              <w:t>56.7</w:t>
            </w:r>
          </w:p>
        </w:tc>
        <w:tc>
          <w:tcPr>
            <w:tcW w:type="dxa" w:w="1440"/>
            <w:shd w:fill="F5F5F5" w:val="clear"/>
          </w:tcPr>
          <w:p>
            <w:pPr>
              <w:jc w:val="center"/>
            </w:pPr>
            <w:r>
              <w:rPr>
                <w:rFonts w:ascii="Times New Roman" w:hAnsi="Times New Roman"/>
                <w:b w:val="0"/>
                <w:i w:val="0"/>
                <w:sz w:val="16"/>
              </w:rPr>
              <w:t>1,077</w:t>
            </w:r>
          </w:p>
        </w:tc>
        <w:tc>
          <w:tcPr>
            <w:tcW w:type="dxa" w:w="1224"/>
            <w:shd w:fill="F5F5F5" w:val="clear"/>
          </w:tcPr>
          <w:p>
            <w:pPr>
              <w:jc w:val="center"/>
            </w:pPr>
            <w:r>
              <w:rPr>
                <w:rFonts w:ascii="Times New Roman" w:hAnsi="Times New Roman"/>
                <w:b w:val="0"/>
                <w:i w:val="0"/>
                <w:sz w:val="16"/>
              </w:rPr>
              <w:t>858</w:t>
            </w:r>
          </w:p>
        </w:tc>
        <w:tc>
          <w:tcPr>
            <w:tcW w:type="dxa" w:w="1584"/>
            <w:shd w:fill="F5F5F5" w:val="clear"/>
          </w:tcPr>
          <w:p>
            <w:pPr>
              <w:jc w:val="center"/>
            </w:pPr>
            <w:r>
              <w:rPr>
                <w:rFonts w:ascii="Times New Roman" w:hAnsi="Times New Roman"/>
                <w:b w:val="0"/>
                <w:i w:val="0"/>
                <w:sz w:val="16"/>
              </w:rPr>
              <w:t>27.0</w:t>
            </w:r>
          </w:p>
        </w:tc>
      </w:tr>
      <w:tr>
        <w:tc>
          <w:tcPr>
            <w:tcW w:type="dxa" w:w="2304"/>
          </w:tcPr>
          <w:p>
            <w:pPr>
              <w:jc w:val="left"/>
            </w:pPr>
            <w:r>
              <w:rPr>
                <w:rFonts w:ascii="Times New Roman" w:hAnsi="Times New Roman"/>
                <w:b w:val="0"/>
                <w:i w:val="0"/>
                <w:sz w:val="16"/>
              </w:rPr>
              <w:t>Manipur</w:t>
            </w:r>
          </w:p>
        </w:tc>
        <w:tc>
          <w:tcPr>
            <w:tcW w:type="dxa" w:w="1584"/>
          </w:tcPr>
          <w:p>
            <w:pPr>
              <w:jc w:val="center"/>
            </w:pPr>
            <w:r>
              <w:rPr>
                <w:rFonts w:ascii="Times New Roman" w:hAnsi="Times New Roman"/>
                <w:b w:val="0"/>
                <w:i w:val="0"/>
                <w:sz w:val="16"/>
              </w:rPr>
              <w:t>136</w:t>
            </w:r>
          </w:p>
        </w:tc>
        <w:tc>
          <w:tcPr>
            <w:tcW w:type="dxa" w:w="1296"/>
          </w:tcPr>
          <w:p>
            <w:pPr>
              <w:jc w:val="center"/>
            </w:pPr>
            <w:r>
              <w:rPr>
                <w:rFonts w:ascii="Times New Roman" w:hAnsi="Times New Roman"/>
                <w:b w:val="0"/>
                <w:i w:val="0"/>
                <w:sz w:val="16"/>
              </w:rPr>
              <w:t>3,788</w:t>
            </w:r>
          </w:p>
        </w:tc>
        <w:tc>
          <w:tcPr>
            <w:tcW w:type="dxa" w:w="1440"/>
          </w:tcPr>
          <w:p>
            <w:pPr>
              <w:jc w:val="center"/>
            </w:pPr>
            <w:r>
              <w:rPr>
                <w:rFonts w:ascii="Times New Roman" w:hAnsi="Times New Roman"/>
                <w:b w:val="0"/>
                <w:i w:val="0"/>
                <w:sz w:val="16"/>
              </w:rPr>
              <w:t>2,377</w:t>
            </w:r>
          </w:p>
        </w:tc>
        <w:tc>
          <w:tcPr>
            <w:tcW w:type="dxa" w:w="1224"/>
          </w:tcPr>
          <w:p>
            <w:pPr>
              <w:jc w:val="center"/>
            </w:pPr>
            <w:r>
              <w:rPr>
                <w:rFonts w:ascii="Times New Roman" w:hAnsi="Times New Roman"/>
                <w:b w:val="0"/>
                <w:i w:val="0"/>
                <w:sz w:val="16"/>
              </w:rPr>
              <w:t>66.0</w:t>
            </w:r>
          </w:p>
        </w:tc>
        <w:tc>
          <w:tcPr>
            <w:tcW w:type="dxa" w:w="1440"/>
          </w:tcPr>
          <w:p>
            <w:pPr>
              <w:jc w:val="center"/>
            </w:pPr>
            <w:r>
              <w:rPr>
                <w:rFonts w:ascii="Times New Roman" w:hAnsi="Times New Roman"/>
                <w:b w:val="0"/>
                <w:i w:val="0"/>
                <w:sz w:val="16"/>
              </w:rPr>
              <w:t>21</w:t>
            </w:r>
          </w:p>
        </w:tc>
        <w:tc>
          <w:tcPr>
            <w:tcW w:type="dxa" w:w="1224"/>
          </w:tcPr>
          <w:p>
            <w:pPr>
              <w:jc w:val="center"/>
            </w:pPr>
            <w:r>
              <w:rPr>
                <w:rFonts w:ascii="Times New Roman" w:hAnsi="Times New Roman"/>
                <w:b w:val="0"/>
                <w:i w:val="0"/>
                <w:sz w:val="16"/>
              </w:rPr>
              <w:t>585</w:t>
            </w:r>
          </w:p>
        </w:tc>
        <w:tc>
          <w:tcPr>
            <w:tcW w:type="dxa" w:w="1584"/>
          </w:tcPr>
          <w:p>
            <w:pPr>
              <w:jc w:val="center"/>
            </w:pPr>
            <w:r>
              <w:rPr>
                <w:rFonts w:ascii="Times New Roman" w:hAnsi="Times New Roman"/>
                <w:b w:val="0"/>
                <w:i w:val="0"/>
                <w:sz w:val="16"/>
              </w:rPr>
              <w:t>15.5</w:t>
            </w:r>
          </w:p>
        </w:tc>
      </w:tr>
      <w:tr>
        <w:tc>
          <w:tcPr>
            <w:tcW w:type="dxa" w:w="2304"/>
            <w:shd w:fill="F5F5F5" w:val="clear"/>
          </w:tcPr>
          <w:p>
            <w:pPr>
              <w:jc w:val="left"/>
            </w:pPr>
            <w:r>
              <w:rPr>
                <w:rFonts w:ascii="Times New Roman" w:hAnsi="Times New Roman"/>
                <w:b w:val="0"/>
                <w:i w:val="0"/>
                <w:sz w:val="16"/>
              </w:rPr>
              <w:t>Meghalaya</w:t>
            </w:r>
          </w:p>
        </w:tc>
        <w:tc>
          <w:tcPr>
            <w:tcW w:type="dxa" w:w="1584"/>
            <w:shd w:fill="F5F5F5" w:val="clear"/>
          </w:tcPr>
          <w:p>
            <w:pPr>
              <w:jc w:val="center"/>
            </w:pPr>
            <w:r>
              <w:rPr>
                <w:rFonts w:ascii="Times New Roman" w:hAnsi="Times New Roman"/>
                <w:b w:val="0"/>
                <w:i w:val="0"/>
                <w:sz w:val="16"/>
              </w:rPr>
              <w:t>106</w:t>
            </w:r>
          </w:p>
        </w:tc>
        <w:tc>
          <w:tcPr>
            <w:tcW w:type="dxa" w:w="1296"/>
            <w:shd w:fill="F5F5F5" w:val="clear"/>
          </w:tcPr>
          <w:p>
            <w:pPr>
              <w:jc w:val="center"/>
            </w:pPr>
            <w:r>
              <w:rPr>
                <w:rFonts w:ascii="Times New Roman" w:hAnsi="Times New Roman"/>
                <w:b w:val="0"/>
                <w:i w:val="0"/>
                <w:sz w:val="16"/>
              </w:rPr>
              <w:t>3,005</w:t>
            </w:r>
          </w:p>
        </w:tc>
        <w:tc>
          <w:tcPr>
            <w:tcW w:type="dxa" w:w="1440"/>
            <w:shd w:fill="F5F5F5" w:val="clear"/>
          </w:tcPr>
          <w:p>
            <w:pPr>
              <w:jc w:val="center"/>
            </w:pPr>
            <w:r>
              <w:rPr>
                <w:rFonts w:ascii="Times New Roman" w:hAnsi="Times New Roman"/>
                <w:b w:val="0"/>
                <w:i w:val="0"/>
                <w:sz w:val="16"/>
              </w:rPr>
              <w:t>1,649</w:t>
            </w:r>
          </w:p>
        </w:tc>
        <w:tc>
          <w:tcPr>
            <w:tcW w:type="dxa" w:w="1224"/>
            <w:shd w:fill="F5F5F5" w:val="clear"/>
          </w:tcPr>
          <w:p>
            <w:pPr>
              <w:jc w:val="center"/>
            </w:pPr>
            <w:r>
              <w:rPr>
                <w:rFonts w:ascii="Times New Roman" w:hAnsi="Times New Roman"/>
                <w:b w:val="0"/>
                <w:i w:val="0"/>
                <w:sz w:val="16"/>
              </w:rPr>
              <w:t>46.9</w:t>
            </w:r>
          </w:p>
        </w:tc>
        <w:tc>
          <w:tcPr>
            <w:tcW w:type="dxa" w:w="1440"/>
            <w:shd w:fill="F5F5F5" w:val="clear"/>
          </w:tcPr>
          <w:p>
            <w:pPr>
              <w:jc w:val="center"/>
            </w:pPr>
            <w:r>
              <w:rPr>
                <w:rFonts w:ascii="Times New Roman" w:hAnsi="Times New Roman"/>
                <w:b w:val="0"/>
                <w:i w:val="0"/>
                <w:sz w:val="16"/>
              </w:rPr>
              <w:t>19</w:t>
            </w:r>
          </w:p>
        </w:tc>
        <w:tc>
          <w:tcPr>
            <w:tcW w:type="dxa" w:w="1224"/>
            <w:shd w:fill="F5F5F5" w:val="clear"/>
          </w:tcPr>
          <w:p>
            <w:pPr>
              <w:jc w:val="center"/>
            </w:pPr>
            <w:r>
              <w:rPr>
                <w:rFonts w:ascii="Times New Roman" w:hAnsi="Times New Roman"/>
                <w:b w:val="0"/>
                <w:i w:val="0"/>
                <w:sz w:val="16"/>
              </w:rPr>
              <w:t>538</w:t>
            </w:r>
          </w:p>
        </w:tc>
        <w:tc>
          <w:tcPr>
            <w:tcW w:type="dxa" w:w="1584"/>
            <w:shd w:fill="F5F5F5" w:val="clear"/>
          </w:tcPr>
          <w:p>
            <w:pPr>
              <w:jc w:val="center"/>
            </w:pPr>
            <w:r>
              <w:rPr>
                <w:rFonts w:ascii="Times New Roman" w:hAnsi="Times New Roman"/>
                <w:b w:val="0"/>
                <w:i w:val="0"/>
                <w:sz w:val="16"/>
              </w:rPr>
              <w:t>17.9</w:t>
            </w:r>
          </w:p>
        </w:tc>
      </w:tr>
      <w:tr>
        <w:tc>
          <w:tcPr>
            <w:tcW w:type="dxa" w:w="2304"/>
          </w:tcPr>
          <w:p>
            <w:pPr>
              <w:jc w:val="left"/>
            </w:pPr>
            <w:r>
              <w:rPr>
                <w:rFonts w:ascii="Times New Roman" w:hAnsi="Times New Roman"/>
                <w:b w:val="0"/>
                <w:i w:val="0"/>
                <w:sz w:val="16"/>
              </w:rPr>
              <w:t>Mizoram</w:t>
            </w:r>
          </w:p>
        </w:tc>
        <w:tc>
          <w:tcPr>
            <w:tcW w:type="dxa" w:w="1584"/>
          </w:tcPr>
          <w:p>
            <w:pPr>
              <w:jc w:val="center"/>
            </w:pPr>
            <w:r>
              <w:rPr>
                <w:rFonts w:ascii="Times New Roman" w:hAnsi="Times New Roman"/>
                <w:b w:val="0"/>
                <w:i w:val="0"/>
                <w:sz w:val="16"/>
              </w:rPr>
              <w:t>30</w:t>
            </w:r>
          </w:p>
        </w:tc>
        <w:tc>
          <w:tcPr>
            <w:tcW w:type="dxa" w:w="1296"/>
          </w:tcPr>
          <w:p>
            <w:pPr>
              <w:jc w:val="center"/>
            </w:pPr>
            <w:r>
              <w:rPr>
                <w:rFonts w:ascii="Times New Roman" w:hAnsi="Times New Roman"/>
                <w:b w:val="0"/>
                <w:i w:val="0"/>
                <w:sz w:val="16"/>
              </w:rPr>
              <w:t>2,360</w:t>
            </w:r>
          </w:p>
        </w:tc>
        <w:tc>
          <w:tcPr>
            <w:tcW w:type="dxa" w:w="1440"/>
          </w:tcPr>
          <w:p>
            <w:pPr>
              <w:jc w:val="center"/>
            </w:pPr>
            <w:r>
              <w:rPr>
                <w:rFonts w:ascii="Times New Roman" w:hAnsi="Times New Roman"/>
                <w:b w:val="0"/>
                <w:i w:val="0"/>
                <w:sz w:val="16"/>
              </w:rPr>
              <w:t>481</w:t>
            </w:r>
          </w:p>
        </w:tc>
        <w:tc>
          <w:tcPr>
            <w:tcW w:type="dxa" w:w="1224"/>
          </w:tcPr>
          <w:p>
            <w:pPr>
              <w:jc w:val="center"/>
            </w:pPr>
            <w:r>
              <w:rPr>
                <w:rFonts w:ascii="Times New Roman" w:hAnsi="Times New Roman"/>
                <w:b w:val="0"/>
                <w:i w:val="0"/>
                <w:sz w:val="16"/>
              </w:rPr>
              <w:t>38.1</w:t>
            </w:r>
          </w:p>
        </w:tc>
        <w:tc>
          <w:tcPr>
            <w:tcW w:type="dxa" w:w="1440"/>
          </w:tcPr>
          <w:p>
            <w:pPr>
              <w:jc w:val="center"/>
            </w:pPr>
            <w:r>
              <w:rPr>
                <w:rFonts w:ascii="Times New Roman" w:hAnsi="Times New Roman"/>
                <w:b w:val="0"/>
                <w:i w:val="0"/>
                <w:sz w:val="16"/>
              </w:rPr>
              <w:t>7</w:t>
            </w:r>
          </w:p>
        </w:tc>
        <w:tc>
          <w:tcPr>
            <w:tcW w:type="dxa" w:w="1224"/>
          </w:tcPr>
          <w:p>
            <w:pPr>
              <w:jc w:val="center"/>
            </w:pPr>
            <w:r>
              <w:rPr>
                <w:rFonts w:ascii="Times New Roman" w:hAnsi="Times New Roman"/>
                <w:b w:val="0"/>
                <w:i w:val="0"/>
                <w:sz w:val="16"/>
              </w:rPr>
              <w:t>581</w:t>
            </w:r>
          </w:p>
        </w:tc>
        <w:tc>
          <w:tcPr>
            <w:tcW w:type="dxa" w:w="1584"/>
          </w:tcPr>
          <w:p>
            <w:pPr>
              <w:jc w:val="center"/>
            </w:pPr>
            <w:r>
              <w:rPr>
                <w:rFonts w:ascii="Times New Roman" w:hAnsi="Times New Roman"/>
                <w:b w:val="0"/>
                <w:i w:val="0"/>
                <w:sz w:val="16"/>
              </w:rPr>
              <w:t>24.6</w:t>
            </w:r>
          </w:p>
        </w:tc>
      </w:tr>
      <w:tr>
        <w:tc>
          <w:tcPr>
            <w:tcW w:type="dxa" w:w="2304"/>
            <w:shd w:fill="F5F5F5" w:val="clear"/>
          </w:tcPr>
          <w:p>
            <w:pPr>
              <w:jc w:val="left"/>
            </w:pPr>
            <w:r>
              <w:rPr>
                <w:rFonts w:ascii="Times New Roman" w:hAnsi="Times New Roman"/>
                <w:b w:val="0"/>
                <w:i w:val="0"/>
                <w:sz w:val="16"/>
              </w:rPr>
              <w:t>Nagaland</w:t>
            </w:r>
          </w:p>
        </w:tc>
        <w:tc>
          <w:tcPr>
            <w:tcW w:type="dxa" w:w="1584"/>
            <w:shd w:fill="F5F5F5" w:val="clear"/>
          </w:tcPr>
          <w:p>
            <w:pPr>
              <w:jc w:val="center"/>
            </w:pPr>
            <w:r>
              <w:rPr>
                <w:rFonts w:ascii="Times New Roman" w:hAnsi="Times New Roman"/>
                <w:b w:val="0"/>
                <w:i w:val="0"/>
                <w:sz w:val="16"/>
              </w:rPr>
              <w:t>58</w:t>
            </w:r>
          </w:p>
        </w:tc>
        <w:tc>
          <w:tcPr>
            <w:tcW w:type="dxa" w:w="1296"/>
            <w:shd w:fill="F5F5F5" w:val="clear"/>
          </w:tcPr>
          <w:p>
            <w:pPr>
              <w:jc w:val="center"/>
            </w:pPr>
            <w:r>
              <w:rPr>
                <w:rFonts w:ascii="Times New Roman" w:hAnsi="Times New Roman"/>
                <w:b w:val="0"/>
                <w:i w:val="0"/>
                <w:sz w:val="16"/>
              </w:rPr>
              <w:t>3,221</w:t>
            </w:r>
          </w:p>
        </w:tc>
        <w:tc>
          <w:tcPr>
            <w:tcW w:type="dxa" w:w="1440"/>
            <w:shd w:fill="F5F5F5" w:val="clear"/>
          </w:tcPr>
          <w:p>
            <w:pPr>
              <w:jc w:val="center"/>
            </w:pPr>
            <w:r>
              <w:rPr>
                <w:rFonts w:ascii="Times New Roman" w:hAnsi="Times New Roman"/>
                <w:b w:val="0"/>
                <w:i w:val="0"/>
                <w:sz w:val="16"/>
              </w:rPr>
              <w:t>961</w:t>
            </w:r>
          </w:p>
        </w:tc>
        <w:tc>
          <w:tcPr>
            <w:tcW w:type="dxa" w:w="1224"/>
            <w:shd w:fill="F5F5F5" w:val="clear"/>
          </w:tcPr>
          <w:p>
            <w:pPr>
              <w:jc w:val="center"/>
            </w:pPr>
            <w:r>
              <w:rPr>
                <w:rFonts w:ascii="Times New Roman" w:hAnsi="Times New Roman"/>
                <w:b w:val="0"/>
                <w:i w:val="0"/>
                <w:sz w:val="16"/>
              </w:rPr>
              <w:t>53.0</w:t>
            </w:r>
          </w:p>
        </w:tc>
        <w:tc>
          <w:tcPr>
            <w:tcW w:type="dxa" w:w="1440"/>
            <w:shd w:fill="F5F5F5" w:val="clear"/>
          </w:tcPr>
          <w:p>
            <w:pPr>
              <w:jc w:val="center"/>
            </w:pPr>
            <w:r>
              <w:rPr>
                <w:rFonts w:ascii="Times New Roman" w:hAnsi="Times New Roman"/>
                <w:b w:val="0"/>
                <w:i w:val="0"/>
                <w:sz w:val="16"/>
              </w:rPr>
              <w:t>11</w:t>
            </w:r>
          </w:p>
        </w:tc>
        <w:tc>
          <w:tcPr>
            <w:tcW w:type="dxa" w:w="1224"/>
            <w:shd w:fill="F5F5F5" w:val="clear"/>
          </w:tcPr>
          <w:p>
            <w:pPr>
              <w:jc w:val="center"/>
            </w:pPr>
            <w:r>
              <w:rPr>
                <w:rFonts w:ascii="Times New Roman" w:hAnsi="Times New Roman"/>
                <w:b w:val="0"/>
                <w:i w:val="0"/>
                <w:sz w:val="16"/>
              </w:rPr>
              <w:t>607</w:t>
            </w:r>
          </w:p>
        </w:tc>
        <w:tc>
          <w:tcPr>
            <w:tcW w:type="dxa" w:w="1584"/>
            <w:shd w:fill="F5F5F5" w:val="clear"/>
          </w:tcPr>
          <w:p>
            <w:pPr>
              <w:jc w:val="center"/>
            </w:pPr>
            <w:r>
              <w:rPr>
                <w:rFonts w:ascii="Times New Roman" w:hAnsi="Times New Roman"/>
                <w:b w:val="0"/>
                <w:i w:val="0"/>
                <w:sz w:val="16"/>
              </w:rPr>
              <w:t>18.9</w:t>
            </w:r>
          </w:p>
        </w:tc>
      </w:tr>
      <w:tr>
        <w:tc>
          <w:tcPr>
            <w:tcW w:type="dxa" w:w="2304"/>
          </w:tcPr>
          <w:p>
            <w:pPr>
              <w:jc w:val="left"/>
            </w:pPr>
            <w:r>
              <w:rPr>
                <w:rFonts w:ascii="Times New Roman" w:hAnsi="Times New Roman"/>
                <w:b w:val="0"/>
                <w:i w:val="0"/>
                <w:sz w:val="16"/>
              </w:rPr>
              <w:t>Odisha</w:t>
            </w:r>
          </w:p>
        </w:tc>
        <w:tc>
          <w:tcPr>
            <w:tcW w:type="dxa" w:w="1584"/>
          </w:tcPr>
          <w:p>
            <w:pPr>
              <w:jc w:val="center"/>
            </w:pPr>
            <w:r>
              <w:rPr>
                <w:rFonts w:ascii="Times New Roman" w:hAnsi="Times New Roman"/>
                <w:b w:val="0"/>
                <w:i w:val="0"/>
                <w:sz w:val="16"/>
              </w:rPr>
              <w:t>1,973</w:t>
            </w:r>
          </w:p>
        </w:tc>
        <w:tc>
          <w:tcPr>
            <w:tcW w:type="dxa" w:w="1296"/>
          </w:tcPr>
          <w:p>
            <w:pPr>
              <w:jc w:val="center"/>
            </w:pPr>
            <w:r>
              <w:rPr>
                <w:rFonts w:ascii="Times New Roman" w:hAnsi="Times New Roman"/>
                <w:b w:val="0"/>
                <w:i w:val="0"/>
                <w:sz w:val="16"/>
              </w:rPr>
              <w:t>4,168</w:t>
            </w:r>
          </w:p>
        </w:tc>
        <w:tc>
          <w:tcPr>
            <w:tcW w:type="dxa" w:w="1440"/>
          </w:tcPr>
          <w:p>
            <w:pPr>
              <w:jc w:val="center"/>
            </w:pPr>
            <w:r>
              <w:rPr>
                <w:rFonts w:ascii="Times New Roman" w:hAnsi="Times New Roman"/>
                <w:b w:val="0"/>
                <w:i w:val="0"/>
                <w:sz w:val="16"/>
              </w:rPr>
              <w:t>37,824</w:t>
            </w:r>
          </w:p>
        </w:tc>
        <w:tc>
          <w:tcPr>
            <w:tcW w:type="dxa" w:w="1224"/>
          </w:tcPr>
          <w:p>
            <w:pPr>
              <w:jc w:val="center"/>
            </w:pPr>
            <w:r>
              <w:rPr>
                <w:rFonts w:ascii="Times New Roman" w:hAnsi="Times New Roman"/>
                <w:b w:val="0"/>
                <w:i w:val="0"/>
                <w:sz w:val="16"/>
              </w:rPr>
              <w:t>79.9</w:t>
            </w:r>
          </w:p>
        </w:tc>
        <w:tc>
          <w:tcPr>
            <w:tcW w:type="dxa" w:w="1440"/>
          </w:tcPr>
          <w:p>
            <w:pPr>
              <w:jc w:val="center"/>
            </w:pPr>
            <w:r>
              <w:rPr>
                <w:rFonts w:ascii="Times New Roman" w:hAnsi="Times New Roman"/>
                <w:b w:val="0"/>
                <w:i w:val="0"/>
                <w:sz w:val="16"/>
              </w:rPr>
              <w:t>324</w:t>
            </w:r>
          </w:p>
        </w:tc>
        <w:tc>
          <w:tcPr>
            <w:tcW w:type="dxa" w:w="1224"/>
          </w:tcPr>
          <w:p>
            <w:pPr>
              <w:jc w:val="center"/>
            </w:pPr>
            <w:r>
              <w:rPr>
                <w:rFonts w:ascii="Times New Roman" w:hAnsi="Times New Roman"/>
                <w:b w:val="0"/>
                <w:i w:val="0"/>
                <w:sz w:val="16"/>
              </w:rPr>
              <w:t>684</w:t>
            </w:r>
          </w:p>
        </w:tc>
        <w:tc>
          <w:tcPr>
            <w:tcW w:type="dxa" w:w="1584"/>
          </w:tcPr>
          <w:p>
            <w:pPr>
              <w:jc w:val="center"/>
            </w:pPr>
            <w:r>
              <w:rPr>
                <w:rFonts w:ascii="Times New Roman" w:hAnsi="Times New Roman"/>
                <w:b w:val="0"/>
                <w:i w:val="0"/>
                <w:sz w:val="16"/>
              </w:rPr>
              <w:t>16.4</w:t>
            </w:r>
          </w:p>
        </w:tc>
      </w:tr>
      <w:tr>
        <w:tc>
          <w:tcPr>
            <w:tcW w:type="dxa" w:w="2304"/>
            <w:shd w:fill="F5F5F5" w:val="clear"/>
          </w:tcPr>
          <w:p>
            <w:pPr>
              <w:jc w:val="left"/>
            </w:pPr>
            <w:r>
              <w:rPr>
                <w:rFonts w:ascii="Times New Roman" w:hAnsi="Times New Roman"/>
                <w:b w:val="0"/>
                <w:i w:val="0"/>
                <w:sz w:val="16"/>
              </w:rPr>
              <w:t>Other UTs</w:t>
            </w:r>
          </w:p>
        </w:tc>
        <w:tc>
          <w:tcPr>
            <w:tcW w:type="dxa" w:w="1584"/>
            <w:shd w:fill="F5F5F5" w:val="clear"/>
          </w:tcPr>
          <w:p>
            <w:pPr>
              <w:jc w:val="center"/>
            </w:pPr>
            <w:r>
              <w:rPr>
                <w:rFonts w:ascii="Times New Roman" w:hAnsi="Times New Roman"/>
                <w:b w:val="0"/>
                <w:i w:val="0"/>
                <w:sz w:val="16"/>
              </w:rPr>
              <w:t>154</w:t>
            </w:r>
          </w:p>
        </w:tc>
        <w:tc>
          <w:tcPr>
            <w:tcW w:type="dxa" w:w="1296"/>
            <w:shd w:fill="F5F5F5" w:val="clear"/>
          </w:tcPr>
          <w:p>
            <w:pPr>
              <w:jc w:val="center"/>
            </w:pPr>
            <w:r>
              <w:rPr>
                <w:rFonts w:ascii="Times New Roman" w:hAnsi="Times New Roman"/>
                <w:b w:val="0"/>
                <w:i w:val="0"/>
                <w:sz w:val="16"/>
              </w:rPr>
              <w:t>4,015</w:t>
            </w:r>
          </w:p>
        </w:tc>
        <w:tc>
          <w:tcPr>
            <w:tcW w:type="dxa" w:w="1440"/>
            <w:shd w:fill="F5F5F5" w:val="clear"/>
          </w:tcPr>
          <w:p>
            <w:pPr>
              <w:jc w:val="center"/>
            </w:pPr>
            <w:r>
              <w:rPr>
                <w:rFonts w:ascii="Times New Roman" w:hAnsi="Times New Roman"/>
                <w:b w:val="0"/>
                <w:i w:val="0"/>
                <w:sz w:val="16"/>
              </w:rPr>
              <w:t>2,880</w:t>
            </w:r>
          </w:p>
        </w:tc>
        <w:tc>
          <w:tcPr>
            <w:tcW w:type="dxa" w:w="1224"/>
            <w:shd w:fill="F5F5F5" w:val="clear"/>
          </w:tcPr>
          <w:p>
            <w:pPr>
              <w:jc w:val="center"/>
            </w:pPr>
            <w:r>
              <w:rPr>
                <w:rFonts w:ascii="Times New Roman" w:hAnsi="Times New Roman"/>
                <w:b w:val="0"/>
                <w:i w:val="0"/>
                <w:sz w:val="16"/>
              </w:rPr>
              <w:t>75.1</w:t>
            </w:r>
          </w:p>
        </w:tc>
        <w:tc>
          <w:tcPr>
            <w:tcW w:type="dxa" w:w="1440"/>
            <w:shd w:fill="F5F5F5" w:val="clear"/>
          </w:tcPr>
          <w:p>
            <w:pPr>
              <w:jc w:val="center"/>
            </w:pPr>
            <w:r>
              <w:rPr>
                <w:rFonts w:ascii="Times New Roman" w:hAnsi="Times New Roman"/>
                <w:b w:val="0"/>
                <w:i w:val="0"/>
                <w:sz w:val="16"/>
              </w:rPr>
              <w:t>30</w:t>
            </w:r>
          </w:p>
        </w:tc>
        <w:tc>
          <w:tcPr>
            <w:tcW w:type="dxa" w:w="1224"/>
            <w:shd w:fill="F5F5F5" w:val="clear"/>
          </w:tcPr>
          <w:p>
            <w:pPr>
              <w:jc w:val="center"/>
            </w:pPr>
            <w:r>
              <w:rPr>
                <w:rFonts w:ascii="Times New Roman" w:hAnsi="Times New Roman"/>
                <w:b w:val="0"/>
                <w:i w:val="0"/>
                <w:sz w:val="16"/>
              </w:rPr>
              <w:t>783</w:t>
            </w:r>
          </w:p>
        </w:tc>
        <w:tc>
          <w:tcPr>
            <w:tcW w:type="dxa" w:w="1584"/>
            <w:shd w:fill="F5F5F5" w:val="clear"/>
          </w:tcPr>
          <w:p>
            <w:pPr>
              <w:jc w:val="center"/>
            </w:pPr>
            <w:r>
              <w:rPr>
                <w:rFonts w:ascii="Times New Roman" w:hAnsi="Times New Roman"/>
                <w:b w:val="0"/>
                <w:i w:val="0"/>
                <w:sz w:val="16"/>
              </w:rPr>
              <w:t>19.5</w:t>
            </w:r>
          </w:p>
        </w:tc>
      </w:tr>
      <w:tr>
        <w:tc>
          <w:tcPr>
            <w:tcW w:type="dxa" w:w="2304"/>
          </w:tcPr>
          <w:p>
            <w:pPr>
              <w:jc w:val="left"/>
            </w:pPr>
            <w:r>
              <w:rPr>
                <w:rFonts w:ascii="Times New Roman" w:hAnsi="Times New Roman"/>
                <w:b w:val="0"/>
                <w:i w:val="0"/>
                <w:sz w:val="16"/>
              </w:rPr>
              <w:t>Punjab</w:t>
            </w:r>
          </w:p>
        </w:tc>
        <w:tc>
          <w:tcPr>
            <w:tcW w:type="dxa" w:w="1584"/>
          </w:tcPr>
          <w:p>
            <w:pPr>
              <w:jc w:val="center"/>
            </w:pPr>
            <w:r>
              <w:rPr>
                <w:rFonts w:ascii="Times New Roman" w:hAnsi="Times New Roman"/>
                <w:b w:val="0"/>
                <w:i w:val="0"/>
                <w:sz w:val="16"/>
              </w:rPr>
              <w:t>1,130</w:t>
            </w:r>
          </w:p>
        </w:tc>
        <w:tc>
          <w:tcPr>
            <w:tcW w:type="dxa" w:w="1296"/>
          </w:tcPr>
          <w:p>
            <w:pPr>
              <w:jc w:val="center"/>
            </w:pPr>
            <w:r>
              <w:rPr>
                <w:rFonts w:ascii="Times New Roman" w:hAnsi="Times New Roman"/>
                <w:b w:val="0"/>
                <w:i w:val="0"/>
                <w:sz w:val="16"/>
              </w:rPr>
              <w:t>3,632</w:t>
            </w:r>
          </w:p>
        </w:tc>
        <w:tc>
          <w:tcPr>
            <w:tcW w:type="dxa" w:w="1440"/>
          </w:tcPr>
          <w:p>
            <w:pPr>
              <w:jc w:val="center"/>
            </w:pPr>
            <w:r>
              <w:rPr>
                <w:rFonts w:ascii="Times New Roman" w:hAnsi="Times New Roman"/>
                <w:b w:val="0"/>
                <w:i w:val="0"/>
                <w:sz w:val="16"/>
              </w:rPr>
              <w:t>21,058</w:t>
            </w:r>
          </w:p>
        </w:tc>
        <w:tc>
          <w:tcPr>
            <w:tcW w:type="dxa" w:w="1224"/>
          </w:tcPr>
          <w:p>
            <w:pPr>
              <w:jc w:val="center"/>
            </w:pPr>
            <w:r>
              <w:rPr>
                <w:rFonts w:ascii="Times New Roman" w:hAnsi="Times New Roman"/>
                <w:b w:val="0"/>
                <w:i w:val="0"/>
                <w:sz w:val="16"/>
              </w:rPr>
              <w:t>67.7</w:t>
            </w:r>
          </w:p>
        </w:tc>
        <w:tc>
          <w:tcPr>
            <w:tcW w:type="dxa" w:w="1440"/>
          </w:tcPr>
          <w:p>
            <w:pPr>
              <w:jc w:val="center"/>
            </w:pPr>
            <w:r>
              <w:rPr>
                <w:rFonts w:ascii="Times New Roman" w:hAnsi="Times New Roman"/>
                <w:b w:val="0"/>
                <w:i w:val="0"/>
                <w:sz w:val="16"/>
              </w:rPr>
              <w:t>230</w:t>
            </w:r>
          </w:p>
        </w:tc>
        <w:tc>
          <w:tcPr>
            <w:tcW w:type="dxa" w:w="1224"/>
          </w:tcPr>
          <w:p>
            <w:pPr>
              <w:jc w:val="center"/>
            </w:pPr>
            <w:r>
              <w:rPr>
                <w:rFonts w:ascii="Times New Roman" w:hAnsi="Times New Roman"/>
                <w:b w:val="0"/>
                <w:i w:val="0"/>
                <w:sz w:val="16"/>
              </w:rPr>
              <w:t>739</w:t>
            </w:r>
          </w:p>
        </w:tc>
        <w:tc>
          <w:tcPr>
            <w:tcW w:type="dxa" w:w="1584"/>
          </w:tcPr>
          <w:p>
            <w:pPr>
              <w:jc w:val="center"/>
            </w:pPr>
            <w:r>
              <w:rPr>
                <w:rFonts w:ascii="Times New Roman" w:hAnsi="Times New Roman"/>
                <w:b w:val="0"/>
                <w:i w:val="0"/>
                <w:sz w:val="16"/>
              </w:rPr>
              <w:t>20.3</w:t>
            </w:r>
          </w:p>
        </w:tc>
      </w:tr>
      <w:tr>
        <w:tc>
          <w:tcPr>
            <w:tcW w:type="dxa" w:w="2304"/>
            <w:shd w:fill="F5F5F5" w:val="clear"/>
          </w:tcPr>
          <w:p>
            <w:pPr>
              <w:jc w:val="left"/>
            </w:pPr>
            <w:r>
              <w:rPr>
                <w:rFonts w:ascii="Times New Roman" w:hAnsi="Times New Roman"/>
                <w:b w:val="0"/>
                <w:i w:val="0"/>
                <w:sz w:val="16"/>
              </w:rPr>
              <w:t>Rajasthan</w:t>
            </w:r>
          </w:p>
        </w:tc>
        <w:tc>
          <w:tcPr>
            <w:tcW w:type="dxa" w:w="1584"/>
            <w:shd w:fill="F5F5F5" w:val="clear"/>
          </w:tcPr>
          <w:p>
            <w:pPr>
              <w:jc w:val="center"/>
            </w:pPr>
            <w:r>
              <w:rPr>
                <w:rFonts w:ascii="Times New Roman" w:hAnsi="Times New Roman"/>
                <w:b w:val="0"/>
                <w:i w:val="0"/>
                <w:sz w:val="16"/>
              </w:rPr>
              <w:t>2,798</w:t>
            </w:r>
          </w:p>
        </w:tc>
        <w:tc>
          <w:tcPr>
            <w:tcW w:type="dxa" w:w="1296"/>
            <w:shd w:fill="F5F5F5" w:val="clear"/>
          </w:tcPr>
          <w:p>
            <w:pPr>
              <w:jc w:val="center"/>
            </w:pPr>
            <w:r>
              <w:rPr>
                <w:rFonts w:ascii="Times New Roman" w:hAnsi="Times New Roman"/>
                <w:b w:val="0"/>
                <w:i w:val="0"/>
                <w:sz w:val="16"/>
              </w:rPr>
              <w:t>3,353</w:t>
            </w:r>
          </w:p>
        </w:tc>
        <w:tc>
          <w:tcPr>
            <w:tcW w:type="dxa" w:w="1440"/>
            <w:shd w:fill="F5F5F5" w:val="clear"/>
          </w:tcPr>
          <w:p>
            <w:pPr>
              <w:jc w:val="center"/>
            </w:pPr>
            <w:r>
              <w:rPr>
                <w:rFonts w:ascii="Times New Roman" w:hAnsi="Times New Roman"/>
                <w:b w:val="0"/>
                <w:i w:val="0"/>
                <w:sz w:val="16"/>
              </w:rPr>
              <w:t>44,432</w:t>
            </w:r>
          </w:p>
        </w:tc>
        <w:tc>
          <w:tcPr>
            <w:tcW w:type="dxa" w:w="1224"/>
            <w:shd w:fill="F5F5F5" w:val="clear"/>
          </w:tcPr>
          <w:p>
            <w:pPr>
              <w:jc w:val="center"/>
            </w:pPr>
            <w:r>
              <w:rPr>
                <w:rFonts w:ascii="Times New Roman" w:hAnsi="Times New Roman"/>
                <w:b w:val="0"/>
                <w:i w:val="0"/>
                <w:sz w:val="16"/>
              </w:rPr>
              <w:t>53.2</w:t>
            </w:r>
          </w:p>
        </w:tc>
        <w:tc>
          <w:tcPr>
            <w:tcW w:type="dxa" w:w="1440"/>
            <w:shd w:fill="F5F5F5" w:val="clear"/>
          </w:tcPr>
          <w:p>
            <w:pPr>
              <w:jc w:val="center"/>
            </w:pPr>
            <w:r>
              <w:rPr>
                <w:rFonts w:ascii="Times New Roman" w:hAnsi="Times New Roman"/>
                <w:b w:val="0"/>
                <w:i w:val="0"/>
                <w:sz w:val="16"/>
              </w:rPr>
              <w:t>567</w:t>
            </w:r>
          </w:p>
        </w:tc>
        <w:tc>
          <w:tcPr>
            <w:tcW w:type="dxa" w:w="1224"/>
            <w:shd w:fill="F5F5F5" w:val="clear"/>
          </w:tcPr>
          <w:p>
            <w:pPr>
              <w:jc w:val="center"/>
            </w:pPr>
            <w:r>
              <w:rPr>
                <w:rFonts w:ascii="Times New Roman" w:hAnsi="Times New Roman"/>
                <w:b w:val="0"/>
                <w:i w:val="0"/>
                <w:sz w:val="16"/>
              </w:rPr>
              <w:t>679</w:t>
            </w:r>
          </w:p>
        </w:tc>
        <w:tc>
          <w:tcPr>
            <w:tcW w:type="dxa" w:w="1584"/>
            <w:shd w:fill="F5F5F5" w:val="clear"/>
          </w:tcPr>
          <w:p>
            <w:pPr>
              <w:jc w:val="center"/>
            </w:pPr>
            <w:r>
              <w:rPr>
                <w:rFonts w:ascii="Times New Roman" w:hAnsi="Times New Roman"/>
                <w:b w:val="0"/>
                <w:i w:val="0"/>
                <w:sz w:val="16"/>
              </w:rPr>
              <w:t>20.3</w:t>
            </w:r>
          </w:p>
        </w:tc>
      </w:tr>
      <w:tr>
        <w:tc>
          <w:tcPr>
            <w:tcW w:type="dxa" w:w="2304"/>
          </w:tcPr>
          <w:p>
            <w:pPr>
              <w:jc w:val="left"/>
            </w:pPr>
            <w:r>
              <w:rPr>
                <w:rFonts w:ascii="Times New Roman" w:hAnsi="Times New Roman"/>
                <w:b w:val="0"/>
                <w:i w:val="0"/>
                <w:sz w:val="16"/>
              </w:rPr>
              <w:t>Sikkim</w:t>
            </w:r>
          </w:p>
        </w:tc>
        <w:tc>
          <w:tcPr>
            <w:tcW w:type="dxa" w:w="1584"/>
          </w:tcPr>
          <w:p>
            <w:pPr>
              <w:jc w:val="center"/>
            </w:pPr>
            <w:r>
              <w:rPr>
                <w:rFonts w:ascii="Times New Roman" w:hAnsi="Times New Roman"/>
                <w:b w:val="0"/>
                <w:i w:val="0"/>
                <w:sz w:val="16"/>
              </w:rPr>
              <w:t>18</w:t>
            </w:r>
          </w:p>
        </w:tc>
        <w:tc>
          <w:tcPr>
            <w:tcW w:type="dxa" w:w="1296"/>
          </w:tcPr>
          <w:p>
            <w:pPr>
              <w:jc w:val="center"/>
            </w:pPr>
            <w:r>
              <w:rPr>
                <w:rFonts w:ascii="Times New Roman" w:hAnsi="Times New Roman"/>
                <w:b w:val="0"/>
                <w:i w:val="0"/>
                <w:sz w:val="16"/>
              </w:rPr>
              <w:t>2,655</w:t>
            </w:r>
          </w:p>
        </w:tc>
        <w:tc>
          <w:tcPr>
            <w:tcW w:type="dxa" w:w="1440"/>
          </w:tcPr>
          <w:p>
            <w:pPr>
              <w:jc w:val="center"/>
            </w:pPr>
            <w:r>
              <w:rPr>
                <w:rFonts w:ascii="Times New Roman" w:hAnsi="Times New Roman"/>
                <w:b w:val="0"/>
                <w:i w:val="0"/>
                <w:sz w:val="16"/>
              </w:rPr>
              <w:t>283</w:t>
            </w:r>
          </w:p>
        </w:tc>
        <w:tc>
          <w:tcPr>
            <w:tcW w:type="dxa" w:w="1224"/>
          </w:tcPr>
          <w:p>
            <w:pPr>
              <w:jc w:val="center"/>
            </w:pPr>
            <w:r>
              <w:rPr>
                <w:rFonts w:ascii="Times New Roman" w:hAnsi="Times New Roman"/>
                <w:b w:val="0"/>
                <w:i w:val="0"/>
                <w:sz w:val="16"/>
              </w:rPr>
              <w:t>40.7</w:t>
            </w:r>
          </w:p>
        </w:tc>
        <w:tc>
          <w:tcPr>
            <w:tcW w:type="dxa" w:w="1440"/>
          </w:tcPr>
          <w:p>
            <w:pPr>
              <w:jc w:val="center"/>
            </w:pPr>
            <w:r>
              <w:rPr>
                <w:rFonts w:ascii="Times New Roman" w:hAnsi="Times New Roman"/>
                <w:b w:val="0"/>
                <w:i w:val="0"/>
                <w:sz w:val="16"/>
              </w:rPr>
              <w:t>5</w:t>
            </w:r>
          </w:p>
        </w:tc>
        <w:tc>
          <w:tcPr>
            <w:tcW w:type="dxa" w:w="1224"/>
          </w:tcPr>
          <w:p>
            <w:pPr>
              <w:jc w:val="center"/>
            </w:pPr>
            <w:r>
              <w:rPr>
                <w:rFonts w:ascii="Times New Roman" w:hAnsi="Times New Roman"/>
                <w:b w:val="0"/>
                <w:i w:val="0"/>
                <w:sz w:val="16"/>
              </w:rPr>
              <w:t>727</w:t>
            </w:r>
          </w:p>
        </w:tc>
        <w:tc>
          <w:tcPr>
            <w:tcW w:type="dxa" w:w="1584"/>
          </w:tcPr>
          <w:p>
            <w:pPr>
              <w:jc w:val="center"/>
            </w:pPr>
            <w:r>
              <w:rPr>
                <w:rFonts w:ascii="Times New Roman" w:hAnsi="Times New Roman"/>
                <w:b w:val="0"/>
                <w:i w:val="0"/>
                <w:sz w:val="16"/>
              </w:rPr>
              <w:t>27.4</w:t>
            </w:r>
          </w:p>
        </w:tc>
      </w:tr>
      <w:tr>
        <w:tc>
          <w:tcPr>
            <w:tcW w:type="dxa" w:w="2304"/>
            <w:shd w:fill="F5F5F5" w:val="clear"/>
          </w:tcPr>
          <w:p>
            <w:pPr>
              <w:jc w:val="left"/>
            </w:pPr>
            <w:r>
              <w:rPr>
                <w:rFonts w:ascii="Times New Roman" w:hAnsi="Times New Roman"/>
                <w:b w:val="0"/>
                <w:i w:val="0"/>
                <w:sz w:val="16"/>
              </w:rPr>
              <w:t>Tamil Nadu</w:t>
            </w:r>
          </w:p>
        </w:tc>
        <w:tc>
          <w:tcPr>
            <w:tcW w:type="dxa" w:w="1584"/>
            <w:shd w:fill="F5F5F5" w:val="clear"/>
          </w:tcPr>
          <w:p>
            <w:pPr>
              <w:jc w:val="center"/>
            </w:pPr>
            <w:r>
              <w:rPr>
                <w:rFonts w:ascii="Times New Roman" w:hAnsi="Times New Roman"/>
                <w:b w:val="0"/>
                <w:i w:val="0"/>
                <w:sz w:val="16"/>
              </w:rPr>
              <w:t>3,624</w:t>
            </w:r>
          </w:p>
        </w:tc>
        <w:tc>
          <w:tcPr>
            <w:tcW w:type="dxa" w:w="1296"/>
            <w:shd w:fill="F5F5F5" w:val="clear"/>
          </w:tcPr>
          <w:p>
            <w:pPr>
              <w:jc w:val="center"/>
            </w:pPr>
            <w:r>
              <w:rPr>
                <w:rFonts w:ascii="Times New Roman" w:hAnsi="Times New Roman"/>
                <w:b w:val="0"/>
                <w:i w:val="0"/>
                <w:sz w:val="16"/>
              </w:rPr>
              <w:t>4,486</w:t>
            </w:r>
          </w:p>
        </w:tc>
        <w:tc>
          <w:tcPr>
            <w:tcW w:type="dxa" w:w="1440"/>
            <w:shd w:fill="F5F5F5" w:val="clear"/>
          </w:tcPr>
          <w:p>
            <w:pPr>
              <w:jc w:val="center"/>
            </w:pPr>
            <w:r>
              <w:rPr>
                <w:rFonts w:ascii="Times New Roman" w:hAnsi="Times New Roman"/>
                <w:b w:val="0"/>
                <w:i w:val="0"/>
                <w:sz w:val="16"/>
              </w:rPr>
              <w:t>67,898</w:t>
            </w:r>
          </w:p>
        </w:tc>
        <w:tc>
          <w:tcPr>
            <w:tcW w:type="dxa" w:w="1224"/>
            <w:shd w:fill="F5F5F5" w:val="clear"/>
          </w:tcPr>
          <w:p>
            <w:pPr>
              <w:jc w:val="center"/>
            </w:pPr>
            <w:r>
              <w:rPr>
                <w:rFonts w:ascii="Times New Roman" w:hAnsi="Times New Roman"/>
                <w:b w:val="0"/>
                <w:i w:val="0"/>
                <w:sz w:val="16"/>
              </w:rPr>
              <w:t>84.1</w:t>
            </w:r>
          </w:p>
        </w:tc>
        <w:tc>
          <w:tcPr>
            <w:tcW w:type="dxa" w:w="1440"/>
            <w:shd w:fill="F5F5F5" w:val="clear"/>
          </w:tcPr>
          <w:p>
            <w:pPr>
              <w:jc w:val="center"/>
            </w:pPr>
            <w:r>
              <w:rPr>
                <w:rFonts w:ascii="Times New Roman" w:hAnsi="Times New Roman"/>
                <w:b w:val="0"/>
                <w:i w:val="0"/>
                <w:sz w:val="16"/>
              </w:rPr>
              <w:t>842</w:t>
            </w:r>
          </w:p>
        </w:tc>
        <w:tc>
          <w:tcPr>
            <w:tcW w:type="dxa" w:w="1224"/>
            <w:shd w:fill="F5F5F5" w:val="clear"/>
          </w:tcPr>
          <w:p>
            <w:pPr>
              <w:jc w:val="center"/>
            </w:pPr>
            <w:r>
              <w:rPr>
                <w:rFonts w:ascii="Times New Roman" w:hAnsi="Times New Roman"/>
                <w:b w:val="0"/>
                <w:i w:val="0"/>
                <w:sz w:val="16"/>
              </w:rPr>
              <w:t>1,042</w:t>
            </w:r>
          </w:p>
        </w:tc>
        <w:tc>
          <w:tcPr>
            <w:tcW w:type="dxa" w:w="1584"/>
            <w:shd w:fill="F5F5F5" w:val="clear"/>
          </w:tcPr>
          <w:p>
            <w:pPr>
              <w:jc w:val="center"/>
            </w:pPr>
            <w:r>
              <w:rPr>
                <w:rFonts w:ascii="Times New Roman" w:hAnsi="Times New Roman"/>
                <w:b w:val="0"/>
                <w:i w:val="0"/>
                <w:sz w:val="16"/>
              </w:rPr>
              <w:t>23.2</w:t>
            </w:r>
          </w:p>
        </w:tc>
      </w:tr>
      <w:tr>
        <w:tc>
          <w:tcPr>
            <w:tcW w:type="dxa" w:w="2304"/>
          </w:tcPr>
          <w:p>
            <w:pPr>
              <w:jc w:val="left"/>
            </w:pPr>
            <w:r>
              <w:rPr>
                <w:rFonts w:ascii="Times New Roman" w:hAnsi="Times New Roman"/>
                <w:b w:val="0"/>
                <w:i w:val="0"/>
                <w:sz w:val="16"/>
              </w:rPr>
              <w:t>Telangana</w:t>
            </w:r>
          </w:p>
        </w:tc>
        <w:tc>
          <w:tcPr>
            <w:tcW w:type="dxa" w:w="1584"/>
          </w:tcPr>
          <w:p>
            <w:pPr>
              <w:jc w:val="center"/>
            </w:pPr>
            <w:r>
              <w:rPr>
                <w:rFonts w:ascii="Times New Roman" w:hAnsi="Times New Roman"/>
                <w:b w:val="0"/>
                <w:i w:val="0"/>
                <w:sz w:val="16"/>
              </w:rPr>
              <w:t>2,316</w:t>
            </w:r>
          </w:p>
        </w:tc>
        <w:tc>
          <w:tcPr>
            <w:tcW w:type="dxa" w:w="1296"/>
          </w:tcPr>
          <w:p>
            <w:pPr>
              <w:jc w:val="center"/>
            </w:pPr>
            <w:r>
              <w:rPr>
                <w:rFonts w:ascii="Times New Roman" w:hAnsi="Times New Roman"/>
                <w:b w:val="0"/>
                <w:i w:val="0"/>
                <w:sz w:val="16"/>
              </w:rPr>
              <w:t>5,972</w:t>
            </w:r>
          </w:p>
        </w:tc>
        <w:tc>
          <w:tcPr>
            <w:tcW w:type="dxa" w:w="1440"/>
          </w:tcPr>
          <w:p>
            <w:pPr>
              <w:jc w:val="center"/>
            </w:pPr>
            <w:r>
              <w:rPr>
                <w:rFonts w:ascii="Times New Roman" w:hAnsi="Times New Roman"/>
                <w:b w:val="0"/>
                <w:i w:val="0"/>
                <w:sz w:val="16"/>
              </w:rPr>
              <w:t>48,536</w:t>
            </w:r>
          </w:p>
        </w:tc>
        <w:tc>
          <w:tcPr>
            <w:tcW w:type="dxa" w:w="1224"/>
          </w:tcPr>
          <w:p>
            <w:pPr>
              <w:jc w:val="center"/>
            </w:pPr>
            <w:r>
              <w:rPr>
                <w:rFonts w:ascii="Times New Roman" w:hAnsi="Times New Roman"/>
                <w:b w:val="0"/>
                <w:i w:val="0"/>
                <w:sz w:val="16"/>
              </w:rPr>
              <w:t>125.1</w:t>
            </w:r>
          </w:p>
        </w:tc>
        <w:tc>
          <w:tcPr>
            <w:tcW w:type="dxa" w:w="1440"/>
          </w:tcPr>
          <w:p>
            <w:pPr>
              <w:jc w:val="center"/>
            </w:pPr>
            <w:r>
              <w:rPr>
                <w:rFonts w:ascii="Times New Roman" w:hAnsi="Times New Roman"/>
                <w:b w:val="0"/>
                <w:i w:val="0"/>
                <w:sz w:val="16"/>
              </w:rPr>
              <w:t>290</w:t>
            </w:r>
          </w:p>
        </w:tc>
        <w:tc>
          <w:tcPr>
            <w:tcW w:type="dxa" w:w="1224"/>
          </w:tcPr>
          <w:p>
            <w:pPr>
              <w:jc w:val="center"/>
            </w:pPr>
            <w:r>
              <w:rPr>
                <w:rFonts w:ascii="Times New Roman" w:hAnsi="Times New Roman"/>
                <w:b w:val="0"/>
                <w:i w:val="0"/>
                <w:sz w:val="16"/>
              </w:rPr>
              <w:t>747</w:t>
            </w:r>
          </w:p>
        </w:tc>
        <w:tc>
          <w:tcPr>
            <w:tcW w:type="dxa" w:w="1584"/>
          </w:tcPr>
          <w:p>
            <w:pPr>
              <w:jc w:val="center"/>
            </w:pPr>
            <w:r>
              <w:rPr>
                <w:rFonts w:ascii="Times New Roman" w:hAnsi="Times New Roman"/>
                <w:b w:val="0"/>
                <w:i w:val="0"/>
                <w:sz w:val="16"/>
              </w:rPr>
              <w:t>12.5</w:t>
            </w:r>
          </w:p>
        </w:tc>
      </w:tr>
      <w:tr>
        <w:tc>
          <w:tcPr>
            <w:tcW w:type="dxa" w:w="2304"/>
            <w:shd w:fill="F5F5F5" w:val="clear"/>
          </w:tcPr>
          <w:p>
            <w:pPr>
              <w:jc w:val="left"/>
            </w:pPr>
            <w:r>
              <w:rPr>
                <w:rFonts w:ascii="Times New Roman" w:hAnsi="Times New Roman"/>
                <w:b w:val="0"/>
                <w:i w:val="0"/>
                <w:sz w:val="16"/>
              </w:rPr>
              <w:t>Tripura</w:t>
            </w:r>
          </w:p>
        </w:tc>
        <w:tc>
          <w:tcPr>
            <w:tcW w:type="dxa" w:w="1584"/>
            <w:shd w:fill="F5F5F5" w:val="clear"/>
          </w:tcPr>
          <w:p>
            <w:pPr>
              <w:jc w:val="center"/>
            </w:pPr>
            <w:r>
              <w:rPr>
                <w:rFonts w:ascii="Times New Roman" w:hAnsi="Times New Roman"/>
                <w:b w:val="0"/>
                <w:i w:val="0"/>
                <w:sz w:val="16"/>
              </w:rPr>
              <w:t>152</w:t>
            </w:r>
          </w:p>
        </w:tc>
        <w:tc>
          <w:tcPr>
            <w:tcW w:type="dxa" w:w="1296"/>
            <w:shd w:fill="F5F5F5" w:val="clear"/>
          </w:tcPr>
          <w:p>
            <w:pPr>
              <w:jc w:val="center"/>
            </w:pPr>
            <w:r>
              <w:rPr>
                <w:rFonts w:ascii="Times New Roman" w:hAnsi="Times New Roman"/>
                <w:b w:val="0"/>
                <w:i w:val="0"/>
                <w:sz w:val="16"/>
              </w:rPr>
              <w:t>3,736</w:t>
            </w:r>
          </w:p>
        </w:tc>
        <w:tc>
          <w:tcPr>
            <w:tcW w:type="dxa" w:w="1440"/>
            <w:shd w:fill="F5F5F5" w:val="clear"/>
          </w:tcPr>
          <w:p>
            <w:pPr>
              <w:jc w:val="center"/>
            </w:pPr>
            <w:r>
              <w:rPr>
                <w:rFonts w:ascii="Times New Roman" w:hAnsi="Times New Roman"/>
                <w:b w:val="0"/>
                <w:i w:val="0"/>
                <w:sz w:val="16"/>
              </w:rPr>
              <w:t>2,597</w:t>
            </w:r>
          </w:p>
        </w:tc>
        <w:tc>
          <w:tcPr>
            <w:tcW w:type="dxa" w:w="1224"/>
            <w:shd w:fill="F5F5F5" w:val="clear"/>
          </w:tcPr>
          <w:p>
            <w:pPr>
              <w:jc w:val="center"/>
            </w:pPr>
            <w:r>
              <w:rPr>
                <w:rFonts w:ascii="Times New Roman" w:hAnsi="Times New Roman"/>
                <w:b w:val="0"/>
                <w:i w:val="0"/>
                <w:sz w:val="16"/>
              </w:rPr>
              <w:t>63.8</w:t>
            </w:r>
          </w:p>
        </w:tc>
        <w:tc>
          <w:tcPr>
            <w:tcW w:type="dxa" w:w="1440"/>
            <w:shd w:fill="F5F5F5" w:val="clear"/>
          </w:tcPr>
          <w:p>
            <w:pPr>
              <w:jc w:val="center"/>
            </w:pPr>
            <w:r>
              <w:rPr>
                <w:rFonts w:ascii="Times New Roman" w:hAnsi="Times New Roman"/>
                <w:b w:val="0"/>
                <w:i w:val="0"/>
                <w:sz w:val="16"/>
              </w:rPr>
              <w:t>26</w:t>
            </w:r>
          </w:p>
        </w:tc>
        <w:tc>
          <w:tcPr>
            <w:tcW w:type="dxa" w:w="1224"/>
            <w:shd w:fill="F5F5F5" w:val="clear"/>
          </w:tcPr>
          <w:p>
            <w:pPr>
              <w:jc w:val="center"/>
            </w:pPr>
            <w:r>
              <w:rPr>
                <w:rFonts w:ascii="Times New Roman" w:hAnsi="Times New Roman"/>
                <w:b w:val="0"/>
                <w:i w:val="0"/>
                <w:sz w:val="16"/>
              </w:rPr>
              <w:t>632</w:t>
            </w:r>
          </w:p>
        </w:tc>
        <w:tc>
          <w:tcPr>
            <w:tcW w:type="dxa" w:w="1584"/>
            <w:shd w:fill="F5F5F5" w:val="clear"/>
          </w:tcPr>
          <w:p>
            <w:pPr>
              <w:jc w:val="center"/>
            </w:pPr>
            <w:r>
              <w:rPr>
                <w:rFonts w:ascii="Times New Roman" w:hAnsi="Times New Roman"/>
                <w:b w:val="0"/>
                <w:i w:val="0"/>
                <w:sz w:val="16"/>
              </w:rPr>
              <w:t>16.9</w:t>
            </w:r>
          </w:p>
        </w:tc>
      </w:tr>
      <w:tr>
        <w:tc>
          <w:tcPr>
            <w:tcW w:type="dxa" w:w="2304"/>
          </w:tcPr>
          <w:p>
            <w:pPr>
              <w:jc w:val="left"/>
            </w:pPr>
            <w:r>
              <w:rPr>
                <w:rFonts w:ascii="Times New Roman" w:hAnsi="Times New Roman"/>
                <w:b w:val="0"/>
                <w:i w:val="0"/>
                <w:sz w:val="16"/>
              </w:rPr>
              <w:t>Uttar Pradesh</w:t>
            </w:r>
          </w:p>
        </w:tc>
        <w:tc>
          <w:tcPr>
            <w:tcW w:type="dxa" w:w="1584"/>
          </w:tcPr>
          <w:p>
            <w:pPr>
              <w:jc w:val="center"/>
            </w:pPr>
            <w:r>
              <w:rPr>
                <w:rFonts w:ascii="Times New Roman" w:hAnsi="Times New Roman"/>
                <w:b w:val="0"/>
                <w:i w:val="0"/>
                <w:sz w:val="16"/>
              </w:rPr>
              <w:t>9,884</w:t>
            </w:r>
          </w:p>
        </w:tc>
        <w:tc>
          <w:tcPr>
            <w:tcW w:type="dxa" w:w="1296"/>
          </w:tcPr>
          <w:p>
            <w:pPr>
              <w:jc w:val="center"/>
            </w:pPr>
            <w:r>
              <w:rPr>
                <w:rFonts w:ascii="Times New Roman" w:hAnsi="Times New Roman"/>
                <w:b w:val="0"/>
                <w:i w:val="0"/>
                <w:sz w:val="16"/>
              </w:rPr>
              <w:t>3,917</w:t>
            </w:r>
          </w:p>
        </w:tc>
        <w:tc>
          <w:tcPr>
            <w:tcW w:type="dxa" w:w="1440"/>
          </w:tcPr>
          <w:p>
            <w:pPr>
              <w:jc w:val="center"/>
            </w:pPr>
            <w:r>
              <w:rPr>
                <w:rFonts w:ascii="Times New Roman" w:hAnsi="Times New Roman"/>
                <w:b w:val="0"/>
                <w:i w:val="0"/>
                <w:sz w:val="16"/>
              </w:rPr>
              <w:t>169,386</w:t>
            </w:r>
          </w:p>
        </w:tc>
        <w:tc>
          <w:tcPr>
            <w:tcW w:type="dxa" w:w="1224"/>
          </w:tcPr>
          <w:p>
            <w:pPr>
              <w:jc w:val="center"/>
            </w:pPr>
            <w:r>
              <w:rPr>
                <w:rFonts w:ascii="Times New Roman" w:hAnsi="Times New Roman"/>
                <w:b w:val="0"/>
                <w:i w:val="0"/>
                <w:sz w:val="16"/>
              </w:rPr>
              <w:t>67.1</w:t>
            </w:r>
          </w:p>
        </w:tc>
        <w:tc>
          <w:tcPr>
            <w:tcW w:type="dxa" w:w="1440"/>
          </w:tcPr>
          <w:p>
            <w:pPr>
              <w:jc w:val="center"/>
            </w:pPr>
            <w:r>
              <w:rPr>
                <w:rFonts w:ascii="Times New Roman" w:hAnsi="Times New Roman"/>
                <w:b w:val="0"/>
                <w:i w:val="0"/>
                <w:sz w:val="16"/>
              </w:rPr>
              <w:t>1,768</w:t>
            </w:r>
          </w:p>
        </w:tc>
        <w:tc>
          <w:tcPr>
            <w:tcW w:type="dxa" w:w="1224"/>
          </w:tcPr>
          <w:p>
            <w:pPr>
              <w:jc w:val="center"/>
            </w:pPr>
            <w:r>
              <w:rPr>
                <w:rFonts w:ascii="Times New Roman" w:hAnsi="Times New Roman"/>
                <w:b w:val="0"/>
                <w:i w:val="0"/>
                <w:sz w:val="16"/>
              </w:rPr>
              <w:t>701</w:t>
            </w:r>
          </w:p>
        </w:tc>
        <w:tc>
          <w:tcPr>
            <w:tcW w:type="dxa" w:w="1584"/>
          </w:tcPr>
          <w:p>
            <w:pPr>
              <w:jc w:val="center"/>
            </w:pPr>
            <w:r>
              <w:rPr>
                <w:rFonts w:ascii="Times New Roman" w:hAnsi="Times New Roman"/>
                <w:b w:val="0"/>
                <w:i w:val="0"/>
                <w:sz w:val="16"/>
              </w:rPr>
              <w:t>17.9</w:t>
            </w:r>
          </w:p>
        </w:tc>
      </w:tr>
      <w:tr>
        <w:tc>
          <w:tcPr>
            <w:tcW w:type="dxa" w:w="2304"/>
            <w:shd w:fill="F5F5F5" w:val="clear"/>
          </w:tcPr>
          <w:p>
            <w:pPr>
              <w:jc w:val="left"/>
            </w:pPr>
            <w:r>
              <w:rPr>
                <w:rFonts w:ascii="Times New Roman" w:hAnsi="Times New Roman"/>
                <w:b w:val="0"/>
                <w:i w:val="0"/>
                <w:sz w:val="16"/>
              </w:rPr>
              <w:t>Uttarakhand</w:t>
            </w:r>
          </w:p>
        </w:tc>
        <w:tc>
          <w:tcPr>
            <w:tcW w:type="dxa" w:w="1584"/>
            <w:shd w:fill="F5F5F5" w:val="clear"/>
          </w:tcPr>
          <w:p>
            <w:pPr>
              <w:jc w:val="center"/>
            </w:pPr>
            <w:r>
              <w:rPr>
                <w:rFonts w:ascii="Times New Roman" w:hAnsi="Times New Roman"/>
                <w:b w:val="0"/>
                <w:i w:val="0"/>
                <w:sz w:val="16"/>
              </w:rPr>
              <w:t>607</w:t>
            </w:r>
          </w:p>
        </w:tc>
        <w:tc>
          <w:tcPr>
            <w:tcW w:type="dxa" w:w="1296"/>
            <w:shd w:fill="F5F5F5" w:val="clear"/>
          </w:tcPr>
          <w:p>
            <w:pPr>
              <w:jc w:val="center"/>
            </w:pPr>
            <w:r>
              <w:rPr>
                <w:rFonts w:ascii="Times New Roman" w:hAnsi="Times New Roman"/>
                <w:b w:val="0"/>
                <w:i w:val="0"/>
                <w:sz w:val="16"/>
              </w:rPr>
              <w:t>4,991</w:t>
            </w:r>
          </w:p>
        </w:tc>
        <w:tc>
          <w:tcPr>
            <w:tcW w:type="dxa" w:w="1440"/>
            <w:shd w:fill="F5F5F5" w:val="clear"/>
          </w:tcPr>
          <w:p>
            <w:pPr>
              <w:jc w:val="center"/>
            </w:pPr>
            <w:r>
              <w:rPr>
                <w:rFonts w:ascii="Times New Roman" w:hAnsi="Times New Roman"/>
                <w:b w:val="0"/>
                <w:i w:val="0"/>
                <w:sz w:val="16"/>
              </w:rPr>
              <w:t>11,534</w:t>
            </w:r>
          </w:p>
        </w:tc>
        <w:tc>
          <w:tcPr>
            <w:tcW w:type="dxa" w:w="1224"/>
            <w:shd w:fill="F5F5F5" w:val="clear"/>
          </w:tcPr>
          <w:p>
            <w:pPr>
              <w:jc w:val="center"/>
            </w:pPr>
            <w:r>
              <w:rPr>
                <w:rFonts w:ascii="Times New Roman" w:hAnsi="Times New Roman"/>
                <w:b w:val="0"/>
                <w:i w:val="0"/>
                <w:sz w:val="16"/>
              </w:rPr>
              <w:t>94.9</w:t>
            </w:r>
          </w:p>
        </w:tc>
        <w:tc>
          <w:tcPr>
            <w:tcW w:type="dxa" w:w="1440"/>
            <w:shd w:fill="F5F5F5" w:val="clear"/>
          </w:tcPr>
          <w:p>
            <w:pPr>
              <w:jc w:val="center"/>
            </w:pPr>
            <w:r>
              <w:rPr>
                <w:rFonts w:ascii="Times New Roman" w:hAnsi="Times New Roman"/>
                <w:b w:val="0"/>
                <w:i w:val="0"/>
                <w:sz w:val="16"/>
              </w:rPr>
              <w:t>87</w:t>
            </w:r>
          </w:p>
        </w:tc>
        <w:tc>
          <w:tcPr>
            <w:tcW w:type="dxa" w:w="1224"/>
            <w:shd w:fill="F5F5F5" w:val="clear"/>
          </w:tcPr>
          <w:p>
            <w:pPr>
              <w:jc w:val="center"/>
            </w:pPr>
            <w:r>
              <w:rPr>
                <w:rFonts w:ascii="Times New Roman" w:hAnsi="Times New Roman"/>
                <w:b w:val="0"/>
                <w:i w:val="0"/>
                <w:sz w:val="16"/>
              </w:rPr>
              <w:t>717</w:t>
            </w:r>
          </w:p>
        </w:tc>
        <w:tc>
          <w:tcPr>
            <w:tcW w:type="dxa" w:w="1584"/>
            <w:shd w:fill="F5F5F5" w:val="clear"/>
          </w:tcPr>
          <w:p>
            <w:pPr>
              <w:jc w:val="center"/>
            </w:pPr>
            <w:r>
              <w:rPr>
                <w:rFonts w:ascii="Times New Roman" w:hAnsi="Times New Roman"/>
                <w:b w:val="0"/>
                <w:i w:val="0"/>
                <w:sz w:val="16"/>
              </w:rPr>
              <w:t>14.4</w:t>
            </w:r>
          </w:p>
        </w:tc>
      </w:tr>
      <w:tr>
        <w:tc>
          <w:tcPr>
            <w:tcW w:type="dxa" w:w="2304"/>
          </w:tcPr>
          <w:p>
            <w:pPr>
              <w:jc w:val="left"/>
            </w:pPr>
            <w:r>
              <w:rPr>
                <w:rFonts w:ascii="Times New Roman" w:hAnsi="Times New Roman"/>
                <w:b w:val="0"/>
                <w:i w:val="0"/>
                <w:sz w:val="16"/>
              </w:rPr>
              <w:t>West Bengal</w:t>
            </w:r>
          </w:p>
        </w:tc>
        <w:tc>
          <w:tcPr>
            <w:tcW w:type="dxa" w:w="1584"/>
          </w:tcPr>
          <w:p>
            <w:pPr>
              <w:jc w:val="center"/>
            </w:pPr>
            <w:r>
              <w:rPr>
                <w:rFonts w:ascii="Times New Roman" w:hAnsi="Times New Roman"/>
                <w:b w:val="0"/>
                <w:i w:val="0"/>
                <w:sz w:val="16"/>
              </w:rPr>
              <w:t>3,439</w:t>
            </w:r>
          </w:p>
        </w:tc>
        <w:tc>
          <w:tcPr>
            <w:tcW w:type="dxa" w:w="1296"/>
          </w:tcPr>
          <w:p>
            <w:pPr>
              <w:jc w:val="center"/>
            </w:pPr>
            <w:r>
              <w:rPr>
                <w:rFonts w:ascii="Times New Roman" w:hAnsi="Times New Roman"/>
                <w:b w:val="0"/>
                <w:i w:val="0"/>
                <w:sz w:val="16"/>
              </w:rPr>
              <w:t>3,413</w:t>
            </w:r>
          </w:p>
        </w:tc>
        <w:tc>
          <w:tcPr>
            <w:tcW w:type="dxa" w:w="1440"/>
          </w:tcPr>
          <w:p>
            <w:pPr>
              <w:jc w:val="center"/>
            </w:pPr>
            <w:r>
              <w:rPr>
                <w:rFonts w:ascii="Times New Roman" w:hAnsi="Times New Roman"/>
                <w:b w:val="0"/>
                <w:i w:val="0"/>
                <w:sz w:val="16"/>
              </w:rPr>
              <w:t>59,400</w:t>
            </w:r>
          </w:p>
        </w:tc>
        <w:tc>
          <w:tcPr>
            <w:tcW w:type="dxa" w:w="1224"/>
          </w:tcPr>
          <w:p>
            <w:pPr>
              <w:jc w:val="center"/>
            </w:pPr>
            <w:r>
              <w:rPr>
                <w:rFonts w:ascii="Times New Roman" w:hAnsi="Times New Roman"/>
                <w:b w:val="0"/>
                <w:i w:val="0"/>
                <w:sz w:val="16"/>
              </w:rPr>
              <w:t>58.9</w:t>
            </w:r>
          </w:p>
        </w:tc>
        <w:tc>
          <w:tcPr>
            <w:tcW w:type="dxa" w:w="1440"/>
          </w:tcPr>
          <w:p>
            <w:pPr>
              <w:jc w:val="center"/>
            </w:pPr>
            <w:r>
              <w:rPr>
                <w:rFonts w:ascii="Times New Roman" w:hAnsi="Times New Roman"/>
                <w:b w:val="0"/>
                <w:i w:val="0"/>
                <w:sz w:val="16"/>
              </w:rPr>
              <w:t>842</w:t>
            </w:r>
          </w:p>
        </w:tc>
        <w:tc>
          <w:tcPr>
            <w:tcW w:type="dxa" w:w="1224"/>
          </w:tcPr>
          <w:p>
            <w:pPr>
              <w:jc w:val="center"/>
            </w:pPr>
            <w:r>
              <w:rPr>
                <w:rFonts w:ascii="Times New Roman" w:hAnsi="Times New Roman"/>
                <w:b w:val="0"/>
                <w:i w:val="0"/>
                <w:sz w:val="16"/>
              </w:rPr>
              <w:t>835</w:t>
            </w:r>
          </w:p>
        </w:tc>
        <w:tc>
          <w:tcPr>
            <w:tcW w:type="dxa" w:w="1584"/>
          </w:tcPr>
          <w:p>
            <w:pPr>
              <w:jc w:val="center"/>
            </w:pPr>
            <w:r>
              <w:rPr>
                <w:rFonts w:ascii="Times New Roman" w:hAnsi="Times New Roman"/>
                <w:b w:val="0"/>
                <w:i w:val="0"/>
                <w:sz w:val="16"/>
              </w:rPr>
              <w:t>24.5</w:t>
            </w:r>
          </w:p>
        </w:tc>
      </w:tr>
    </w:tbl>
    <w:p>
      <w:pPr>
        <w:spacing w:before="0" w:after="280"/>
        <w:jc w:val="left"/>
      </w:pPr>
      <w:r>
        <w:rPr>
          <w:rFonts w:ascii="Times New Roman" w:hAnsi="Times New Roman"/>
          <w:b w:val="0"/>
          <w:i/>
          <w:sz w:val="18"/>
        </w:rPr>
        <w:t>GBD = Global Burden of Disease; DALY = disability-adjusted life year; YLD = years lived with disability; J&amp;K = Jammu &amp; Kashmir; UTs = Union Territories. DALY rate, death rate, and YLD rate are per 100,000 population (age-standardised). YLD fraction = YLDs/(YLDs+YLLs) × 100. Source: GBD 2023 subnational India.</w:t>
      </w:r>
    </w:p>
    <w:p/>
    <w:p>
      <w:pPr>
        <w:spacing w:before="240" w:after="80"/>
      </w:pPr>
      <w:r>
        <w:rPr>
          <w:rFonts w:ascii="Times New Roman" w:hAnsi="Times New Roman"/>
          <w:b/>
          <w:i w:val="0"/>
          <w:sz w:val="22"/>
        </w:rPr>
        <w:t>Table 2. Cause-specific YLD fractions — median across Indian states (GBD 2023, all injuries, both sexes, all ages, 2021).</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fill="2C3E50" w:color="FFFFFF" w:val="clear"/>
          </w:tcPr>
          <w:p>
            <w:pPr>
              <w:jc w:val="center"/>
            </w:pPr>
            <w:r>
              <w:rPr>
                <w:rFonts w:ascii="Times New Roman" w:hAnsi="Times New Roman"/>
                <w:b/>
                <w:i w:val="0"/>
                <w:color w:val="FFFFFF"/>
                <w:sz w:val="18"/>
              </w:rPr>
              <w:t>Cause group</w:t>
            </w:r>
          </w:p>
        </w:tc>
        <w:tc>
          <w:tcPr>
            <w:tcW w:type="dxa" w:w="2160"/>
            <w:shd w:fill="2C3E50" w:color="FFFFFF" w:val="clear"/>
          </w:tcPr>
          <w:p>
            <w:pPr>
              <w:jc w:val="center"/>
            </w:pPr>
            <w:r>
              <w:rPr>
                <w:rFonts w:ascii="Times New Roman" w:hAnsi="Times New Roman"/>
                <w:b/>
                <w:i w:val="0"/>
                <w:color w:val="FFFFFF"/>
                <w:sz w:val="18"/>
              </w:rPr>
              <w:t>Median YLD fraction (%)</w:t>
            </w:r>
          </w:p>
        </w:tc>
        <w:tc>
          <w:tcPr>
            <w:tcW w:type="dxa" w:w="1152"/>
            <w:shd w:fill="2C3E50" w:color="FFFFFF" w:val="clear"/>
          </w:tcPr>
          <w:p>
            <w:pPr>
              <w:jc w:val="center"/>
            </w:pPr>
            <w:r>
              <w:rPr>
                <w:rFonts w:ascii="Times New Roman" w:hAnsi="Times New Roman"/>
                <w:b/>
                <w:i w:val="0"/>
                <w:color w:val="FFFFFF"/>
                <w:sz w:val="18"/>
              </w:rPr>
              <w:t>IQR (%)</w:t>
            </w:r>
          </w:p>
        </w:tc>
        <w:tc>
          <w:tcPr>
            <w:tcW w:type="dxa" w:w="4608"/>
            <w:shd w:fill="2C3E50" w:color="FFFFFF" w:val="clear"/>
          </w:tcPr>
          <w:p>
            <w:pPr>
              <w:jc w:val="center"/>
            </w:pPr>
            <w:r>
              <w:rPr>
                <w:rFonts w:ascii="Times New Roman" w:hAnsi="Times New Roman"/>
                <w:b/>
                <w:i w:val="0"/>
                <w:color w:val="FFFFFF"/>
                <w:sz w:val="18"/>
              </w:rPr>
              <w:t>Description</w:t>
            </w:r>
          </w:p>
        </w:tc>
      </w:tr>
      <w:tr>
        <w:tc>
          <w:tcPr>
            <w:tcW w:type="dxa" w:w="2448"/>
          </w:tcPr>
          <w:p>
            <w:pPr>
              <w:jc w:val="left"/>
            </w:pPr>
            <w:r>
              <w:rPr>
                <w:rFonts w:ascii="Times New Roman" w:hAnsi="Times New Roman"/>
                <w:b w:val="0"/>
                <w:i w:val="0"/>
                <w:sz w:val="18"/>
              </w:rPr>
              <w:t>Falls</w:t>
            </w:r>
          </w:p>
        </w:tc>
        <w:tc>
          <w:tcPr>
            <w:tcW w:type="dxa" w:w="2160"/>
          </w:tcPr>
          <w:p>
            <w:pPr>
              <w:jc w:val="center"/>
            </w:pPr>
            <w:r>
              <w:rPr>
                <w:rFonts w:ascii="Times New Roman" w:hAnsi="Times New Roman"/>
                <w:b w:val="0"/>
                <w:i w:val="0"/>
                <w:sz w:val="18"/>
              </w:rPr>
              <w:t>51.0</w:t>
            </w:r>
          </w:p>
        </w:tc>
        <w:tc>
          <w:tcPr>
            <w:tcW w:type="dxa" w:w="1152"/>
          </w:tcPr>
          <w:p>
            <w:pPr>
              <w:jc w:val="center"/>
            </w:pPr>
            <w:r>
              <w:rPr>
                <w:rFonts w:ascii="Times New Roman" w:hAnsi="Times New Roman"/>
                <w:b w:val="0"/>
                <w:i w:val="0"/>
                <w:sz w:val="18"/>
              </w:rPr>
              <w:t>39–63</w:t>
            </w:r>
          </w:p>
        </w:tc>
        <w:tc>
          <w:tcPr>
            <w:tcW w:type="dxa" w:w="4608"/>
          </w:tcPr>
          <w:p>
            <w:pPr>
              <w:jc w:val="center"/>
            </w:pPr>
            <w:r>
              <w:rPr>
                <w:rFonts w:ascii="Times New Roman" w:hAnsi="Times New Roman"/>
                <w:b w:val="0"/>
                <w:i w:val="0"/>
                <w:sz w:val="18"/>
              </w:rPr>
              <w:t>Fractures, TBI, spinal injury from falls</w:t>
            </w:r>
          </w:p>
        </w:tc>
      </w:tr>
      <w:tr>
        <w:tc>
          <w:tcPr>
            <w:tcW w:type="dxa" w:w="2448"/>
            <w:shd w:fill="F5F5F5" w:val="clear"/>
          </w:tcPr>
          <w:p>
            <w:pPr>
              <w:jc w:val="left"/>
            </w:pPr>
            <w:r>
              <w:rPr>
                <w:rFonts w:ascii="Times New Roman" w:hAnsi="Times New Roman"/>
                <w:b w:val="0"/>
                <w:i w:val="0"/>
                <w:sz w:val="18"/>
              </w:rPr>
              <w:t>Other unintentional</w:t>
            </w:r>
          </w:p>
        </w:tc>
        <w:tc>
          <w:tcPr>
            <w:tcW w:type="dxa" w:w="2160"/>
            <w:shd w:fill="F5F5F5" w:val="clear"/>
          </w:tcPr>
          <w:p>
            <w:pPr>
              <w:jc w:val="center"/>
            </w:pPr>
            <w:r>
              <w:rPr>
                <w:rFonts w:ascii="Times New Roman" w:hAnsi="Times New Roman"/>
                <w:b w:val="0"/>
                <w:i w:val="0"/>
                <w:sz w:val="18"/>
              </w:rPr>
              <w:t>34.6</w:t>
            </w:r>
          </w:p>
        </w:tc>
        <w:tc>
          <w:tcPr>
            <w:tcW w:type="dxa" w:w="1152"/>
            <w:shd w:fill="F5F5F5" w:val="clear"/>
          </w:tcPr>
          <w:p>
            <w:pPr>
              <w:jc w:val="center"/>
            </w:pPr>
            <w:r>
              <w:rPr>
                <w:rFonts w:ascii="Times New Roman" w:hAnsi="Times New Roman"/>
                <w:b w:val="0"/>
                <w:i w:val="0"/>
                <w:sz w:val="18"/>
              </w:rPr>
              <w:t>25–46</w:t>
            </w:r>
          </w:p>
        </w:tc>
        <w:tc>
          <w:tcPr>
            <w:tcW w:type="dxa" w:w="4608"/>
            <w:shd w:fill="F5F5F5" w:val="clear"/>
          </w:tcPr>
          <w:p>
            <w:pPr>
              <w:jc w:val="center"/>
            </w:pPr>
            <w:r>
              <w:rPr>
                <w:rFonts w:ascii="Times New Roman" w:hAnsi="Times New Roman"/>
                <w:b w:val="0"/>
                <w:i w:val="0"/>
                <w:sz w:val="18"/>
              </w:rPr>
              <w:t>Electrocution, animal contact, foreign body, etc.</w:t>
            </w:r>
          </w:p>
        </w:tc>
      </w:tr>
      <w:tr>
        <w:tc>
          <w:tcPr>
            <w:tcW w:type="dxa" w:w="2448"/>
          </w:tcPr>
          <w:p>
            <w:pPr>
              <w:jc w:val="left"/>
            </w:pPr>
            <w:r>
              <w:rPr>
                <w:rFonts w:ascii="Times New Roman" w:hAnsi="Times New Roman"/>
                <w:b w:val="0"/>
                <w:i w:val="0"/>
                <w:sz w:val="18"/>
              </w:rPr>
              <w:t>All unintentional</w:t>
            </w:r>
          </w:p>
        </w:tc>
        <w:tc>
          <w:tcPr>
            <w:tcW w:type="dxa" w:w="2160"/>
          </w:tcPr>
          <w:p>
            <w:pPr>
              <w:jc w:val="center"/>
            </w:pPr>
            <w:r>
              <w:rPr>
                <w:rFonts w:ascii="Times New Roman" w:hAnsi="Times New Roman"/>
                <w:b w:val="0"/>
                <w:i w:val="0"/>
                <w:sz w:val="18"/>
              </w:rPr>
              <w:t>31.9</w:t>
            </w:r>
          </w:p>
        </w:tc>
        <w:tc>
          <w:tcPr>
            <w:tcW w:type="dxa" w:w="1152"/>
          </w:tcPr>
          <w:p>
            <w:pPr>
              <w:jc w:val="center"/>
            </w:pPr>
            <w:r>
              <w:rPr>
                <w:rFonts w:ascii="Times New Roman" w:hAnsi="Times New Roman"/>
                <w:b w:val="0"/>
                <w:i w:val="0"/>
                <w:sz w:val="18"/>
              </w:rPr>
              <w:t>25–41</w:t>
            </w:r>
          </w:p>
        </w:tc>
        <w:tc>
          <w:tcPr>
            <w:tcW w:type="dxa" w:w="4608"/>
          </w:tcPr>
          <w:p>
            <w:pPr>
              <w:jc w:val="center"/>
            </w:pPr>
            <w:r>
              <w:rPr>
                <w:rFonts w:ascii="Times New Roman" w:hAnsi="Times New Roman"/>
                <w:b w:val="0"/>
                <w:i w:val="0"/>
                <w:sz w:val="18"/>
              </w:rPr>
              <w:t>Aggregate unintentional injuries</w:t>
            </w:r>
          </w:p>
        </w:tc>
      </w:tr>
      <w:tr>
        <w:tc>
          <w:tcPr>
            <w:tcW w:type="dxa" w:w="2448"/>
            <w:shd w:fill="F5F5F5" w:val="clear"/>
          </w:tcPr>
          <w:p>
            <w:pPr>
              <w:jc w:val="left"/>
            </w:pPr>
            <w:r>
              <w:rPr>
                <w:rFonts w:ascii="Times New Roman" w:hAnsi="Times New Roman"/>
                <w:b w:val="0"/>
                <w:i w:val="0"/>
                <w:sz w:val="18"/>
              </w:rPr>
              <w:t>Interpersonal violence</w:t>
            </w:r>
          </w:p>
        </w:tc>
        <w:tc>
          <w:tcPr>
            <w:tcW w:type="dxa" w:w="2160"/>
            <w:shd w:fill="F5F5F5" w:val="clear"/>
          </w:tcPr>
          <w:p>
            <w:pPr>
              <w:jc w:val="center"/>
            </w:pPr>
            <w:r>
              <w:rPr>
                <w:rFonts w:ascii="Times New Roman" w:hAnsi="Times New Roman"/>
                <w:b w:val="0"/>
                <w:i w:val="0"/>
                <w:sz w:val="18"/>
              </w:rPr>
              <w:t>26.4</w:t>
            </w:r>
          </w:p>
        </w:tc>
        <w:tc>
          <w:tcPr>
            <w:tcW w:type="dxa" w:w="1152"/>
            <w:shd w:fill="F5F5F5" w:val="clear"/>
          </w:tcPr>
          <w:p>
            <w:pPr>
              <w:jc w:val="center"/>
            </w:pPr>
            <w:r>
              <w:rPr>
                <w:rFonts w:ascii="Times New Roman" w:hAnsi="Times New Roman"/>
                <w:b w:val="0"/>
                <w:i w:val="0"/>
                <w:sz w:val="18"/>
              </w:rPr>
              <w:t>18–37</w:t>
            </w:r>
          </w:p>
        </w:tc>
        <w:tc>
          <w:tcPr>
            <w:tcW w:type="dxa" w:w="4608"/>
            <w:shd w:fill="F5F5F5" w:val="clear"/>
          </w:tcPr>
          <w:p>
            <w:pPr>
              <w:jc w:val="center"/>
            </w:pPr>
            <w:r>
              <w:rPr>
                <w:rFonts w:ascii="Times New Roman" w:hAnsi="Times New Roman"/>
                <w:b w:val="0"/>
                <w:i w:val="0"/>
                <w:sz w:val="18"/>
              </w:rPr>
              <w:t>Physical and firearm violence</w:t>
            </w:r>
          </w:p>
        </w:tc>
      </w:tr>
      <w:tr>
        <w:tc>
          <w:tcPr>
            <w:tcW w:type="dxa" w:w="2448"/>
          </w:tcPr>
          <w:p>
            <w:pPr>
              <w:jc w:val="left"/>
            </w:pPr>
            <w:r>
              <w:rPr>
                <w:rFonts w:ascii="Times New Roman" w:hAnsi="Times New Roman"/>
                <w:b w:val="0"/>
                <w:i w:val="0"/>
                <w:sz w:val="18"/>
              </w:rPr>
              <w:t>Burns</w:t>
            </w:r>
          </w:p>
        </w:tc>
        <w:tc>
          <w:tcPr>
            <w:tcW w:type="dxa" w:w="2160"/>
          </w:tcPr>
          <w:p>
            <w:pPr>
              <w:jc w:val="center"/>
            </w:pPr>
            <w:r>
              <w:rPr>
                <w:rFonts w:ascii="Times New Roman" w:hAnsi="Times New Roman"/>
                <w:b w:val="0"/>
                <w:i w:val="0"/>
                <w:sz w:val="18"/>
              </w:rPr>
              <w:t>22.1</w:t>
            </w:r>
          </w:p>
        </w:tc>
        <w:tc>
          <w:tcPr>
            <w:tcW w:type="dxa" w:w="1152"/>
          </w:tcPr>
          <w:p>
            <w:pPr>
              <w:jc w:val="center"/>
            </w:pPr>
            <w:r>
              <w:rPr>
                <w:rFonts w:ascii="Times New Roman" w:hAnsi="Times New Roman"/>
                <w:b w:val="0"/>
                <w:i w:val="0"/>
                <w:sz w:val="18"/>
              </w:rPr>
              <w:t>15–31</w:t>
            </w:r>
          </w:p>
        </w:tc>
        <w:tc>
          <w:tcPr>
            <w:tcW w:type="dxa" w:w="4608"/>
          </w:tcPr>
          <w:p>
            <w:pPr>
              <w:jc w:val="center"/>
            </w:pPr>
            <w:r>
              <w:rPr>
                <w:rFonts w:ascii="Times New Roman" w:hAnsi="Times New Roman"/>
                <w:b w:val="0"/>
                <w:i w:val="0"/>
                <w:sz w:val="18"/>
              </w:rPr>
              <w:t>Fire, heat, and hot substances</w:t>
            </w:r>
          </w:p>
        </w:tc>
      </w:tr>
      <w:tr>
        <w:tc>
          <w:tcPr>
            <w:tcW w:type="dxa" w:w="2448"/>
            <w:shd w:fill="F5F5F5" w:val="clear"/>
          </w:tcPr>
          <w:p>
            <w:pPr>
              <w:jc w:val="left"/>
            </w:pPr>
            <w:r>
              <w:rPr>
                <w:rFonts w:ascii="Times New Roman" w:hAnsi="Times New Roman"/>
                <w:b w:val="0"/>
                <w:i w:val="0"/>
                <w:sz w:val="18"/>
              </w:rPr>
              <w:t>All injuries</w:t>
            </w:r>
          </w:p>
        </w:tc>
        <w:tc>
          <w:tcPr>
            <w:tcW w:type="dxa" w:w="2160"/>
            <w:shd w:fill="F5F5F5" w:val="clear"/>
          </w:tcPr>
          <w:p>
            <w:pPr>
              <w:jc w:val="center"/>
            </w:pPr>
            <w:r>
              <w:rPr>
                <w:rFonts w:ascii="Times New Roman" w:hAnsi="Times New Roman"/>
                <w:b w:val="0"/>
                <w:i w:val="0"/>
                <w:sz w:val="18"/>
              </w:rPr>
              <w:t>18.9</w:t>
            </w:r>
          </w:p>
        </w:tc>
        <w:tc>
          <w:tcPr>
            <w:tcW w:type="dxa" w:w="1152"/>
            <w:shd w:fill="F5F5F5" w:val="clear"/>
          </w:tcPr>
          <w:p>
            <w:pPr>
              <w:jc w:val="center"/>
            </w:pPr>
            <w:r>
              <w:rPr>
                <w:rFonts w:ascii="Times New Roman" w:hAnsi="Times New Roman"/>
                <w:b w:val="0"/>
                <w:i w:val="0"/>
                <w:sz w:val="18"/>
              </w:rPr>
              <w:t>12–28</w:t>
            </w:r>
          </w:p>
        </w:tc>
        <w:tc>
          <w:tcPr>
            <w:tcW w:type="dxa" w:w="4608"/>
            <w:shd w:fill="F5F5F5" w:val="clear"/>
          </w:tcPr>
          <w:p>
            <w:pPr>
              <w:jc w:val="center"/>
            </w:pPr>
            <w:r>
              <w:rPr>
                <w:rFonts w:ascii="Times New Roman" w:hAnsi="Times New Roman"/>
                <w:b w:val="0"/>
                <w:i w:val="0"/>
                <w:sz w:val="18"/>
              </w:rPr>
              <w:t>All injury causes combined</w:t>
            </w:r>
          </w:p>
        </w:tc>
      </w:tr>
      <w:tr>
        <w:tc>
          <w:tcPr>
            <w:tcW w:type="dxa" w:w="2448"/>
          </w:tcPr>
          <w:p>
            <w:pPr>
              <w:jc w:val="left"/>
            </w:pPr>
            <w:r>
              <w:rPr>
                <w:rFonts w:ascii="Times New Roman" w:hAnsi="Times New Roman"/>
                <w:b w:val="0"/>
                <w:i w:val="0"/>
                <w:sz w:val="18"/>
              </w:rPr>
              <w:t>All intentional</w:t>
            </w:r>
          </w:p>
        </w:tc>
        <w:tc>
          <w:tcPr>
            <w:tcW w:type="dxa" w:w="2160"/>
          </w:tcPr>
          <w:p>
            <w:pPr>
              <w:jc w:val="center"/>
            </w:pPr>
            <w:r>
              <w:rPr>
                <w:rFonts w:ascii="Times New Roman" w:hAnsi="Times New Roman"/>
                <w:b w:val="0"/>
                <w:i w:val="0"/>
                <w:sz w:val="18"/>
              </w:rPr>
              <w:t>8.7</w:t>
            </w:r>
          </w:p>
        </w:tc>
        <w:tc>
          <w:tcPr>
            <w:tcW w:type="dxa" w:w="1152"/>
          </w:tcPr>
          <w:p>
            <w:pPr>
              <w:jc w:val="center"/>
            </w:pPr>
            <w:r>
              <w:rPr>
                <w:rFonts w:ascii="Times New Roman" w:hAnsi="Times New Roman"/>
                <w:b w:val="0"/>
                <w:i w:val="0"/>
                <w:sz w:val="18"/>
              </w:rPr>
              <w:t>6–12</w:t>
            </w:r>
          </w:p>
        </w:tc>
        <w:tc>
          <w:tcPr>
            <w:tcW w:type="dxa" w:w="4608"/>
          </w:tcPr>
          <w:p>
            <w:pPr>
              <w:jc w:val="center"/>
            </w:pPr>
            <w:r>
              <w:rPr>
                <w:rFonts w:ascii="Times New Roman" w:hAnsi="Times New Roman"/>
                <w:b w:val="0"/>
                <w:i w:val="0"/>
                <w:sz w:val="18"/>
              </w:rPr>
              <w:t>Self-harm + interpersonal violence</w:t>
            </w:r>
          </w:p>
        </w:tc>
      </w:tr>
      <w:tr>
        <w:tc>
          <w:tcPr>
            <w:tcW w:type="dxa" w:w="2448"/>
            <w:shd w:fill="F5F5F5" w:val="clear"/>
          </w:tcPr>
          <w:p>
            <w:pPr>
              <w:jc w:val="left"/>
            </w:pPr>
            <w:r>
              <w:rPr>
                <w:rFonts w:ascii="Times New Roman" w:hAnsi="Times New Roman"/>
                <w:b w:val="0"/>
                <w:i w:val="0"/>
                <w:sz w:val="18"/>
              </w:rPr>
              <w:t>Other transport</w:t>
            </w:r>
          </w:p>
        </w:tc>
        <w:tc>
          <w:tcPr>
            <w:tcW w:type="dxa" w:w="2160"/>
            <w:shd w:fill="F5F5F5" w:val="clear"/>
          </w:tcPr>
          <w:p>
            <w:pPr>
              <w:jc w:val="center"/>
            </w:pPr>
            <w:r>
              <w:rPr>
                <w:rFonts w:ascii="Times New Roman" w:hAnsi="Times New Roman"/>
                <w:b w:val="0"/>
                <w:i w:val="0"/>
                <w:sz w:val="18"/>
              </w:rPr>
              <w:t>7.6</w:t>
            </w:r>
          </w:p>
        </w:tc>
        <w:tc>
          <w:tcPr>
            <w:tcW w:type="dxa" w:w="1152"/>
            <w:shd w:fill="F5F5F5" w:val="clear"/>
          </w:tcPr>
          <w:p>
            <w:pPr>
              <w:jc w:val="center"/>
            </w:pPr>
            <w:r>
              <w:rPr>
                <w:rFonts w:ascii="Times New Roman" w:hAnsi="Times New Roman"/>
                <w:b w:val="0"/>
                <w:i w:val="0"/>
                <w:sz w:val="18"/>
              </w:rPr>
              <w:t>5–11</w:t>
            </w:r>
          </w:p>
        </w:tc>
        <w:tc>
          <w:tcPr>
            <w:tcW w:type="dxa" w:w="4608"/>
            <w:shd w:fill="F5F5F5" w:val="clear"/>
          </w:tcPr>
          <w:p>
            <w:pPr>
              <w:jc w:val="center"/>
            </w:pPr>
            <w:r>
              <w:rPr>
                <w:rFonts w:ascii="Times New Roman" w:hAnsi="Times New Roman"/>
                <w:b w:val="0"/>
                <w:i w:val="0"/>
                <w:sz w:val="18"/>
              </w:rPr>
              <w:t>Non-road transport injuries</w:t>
            </w:r>
          </w:p>
        </w:tc>
      </w:tr>
      <w:tr>
        <w:tc>
          <w:tcPr>
            <w:tcW w:type="dxa" w:w="2448"/>
          </w:tcPr>
          <w:p>
            <w:pPr>
              <w:jc w:val="left"/>
            </w:pPr>
            <w:r>
              <w:rPr>
                <w:rFonts w:ascii="Times New Roman" w:hAnsi="Times New Roman"/>
                <w:b w:val="0"/>
                <w:i w:val="0"/>
                <w:sz w:val="18"/>
              </w:rPr>
              <w:t>All transport</w:t>
            </w:r>
          </w:p>
        </w:tc>
        <w:tc>
          <w:tcPr>
            <w:tcW w:type="dxa" w:w="2160"/>
          </w:tcPr>
          <w:p>
            <w:pPr>
              <w:jc w:val="center"/>
            </w:pPr>
            <w:r>
              <w:rPr>
                <w:rFonts w:ascii="Times New Roman" w:hAnsi="Times New Roman"/>
                <w:b w:val="0"/>
                <w:i w:val="0"/>
                <w:sz w:val="18"/>
              </w:rPr>
              <w:t>6.1</w:t>
            </w:r>
          </w:p>
        </w:tc>
        <w:tc>
          <w:tcPr>
            <w:tcW w:type="dxa" w:w="1152"/>
          </w:tcPr>
          <w:p>
            <w:pPr>
              <w:jc w:val="center"/>
            </w:pPr>
            <w:r>
              <w:rPr>
                <w:rFonts w:ascii="Times New Roman" w:hAnsi="Times New Roman"/>
                <w:b w:val="0"/>
                <w:i w:val="0"/>
                <w:sz w:val="18"/>
              </w:rPr>
              <w:t>4–9</w:t>
            </w:r>
          </w:p>
        </w:tc>
        <w:tc>
          <w:tcPr>
            <w:tcW w:type="dxa" w:w="4608"/>
          </w:tcPr>
          <w:p>
            <w:pPr>
              <w:jc w:val="center"/>
            </w:pPr>
            <w:r>
              <w:rPr>
                <w:rFonts w:ascii="Times New Roman" w:hAnsi="Times New Roman"/>
                <w:b w:val="0"/>
                <w:i w:val="0"/>
                <w:sz w:val="18"/>
              </w:rPr>
              <w:t>Road + other transport</w:t>
            </w:r>
          </w:p>
        </w:tc>
      </w:tr>
      <w:tr>
        <w:tc>
          <w:tcPr>
            <w:tcW w:type="dxa" w:w="2448"/>
            <w:shd w:fill="F5F5F5" w:val="clear"/>
          </w:tcPr>
          <w:p>
            <w:pPr>
              <w:jc w:val="left"/>
            </w:pPr>
            <w:r>
              <w:rPr>
                <w:rFonts w:ascii="Times New Roman" w:hAnsi="Times New Roman"/>
                <w:b w:val="0"/>
                <w:i w:val="0"/>
                <w:sz w:val="18"/>
              </w:rPr>
              <w:t>Road injuries</w:t>
            </w:r>
          </w:p>
        </w:tc>
        <w:tc>
          <w:tcPr>
            <w:tcW w:type="dxa" w:w="2160"/>
            <w:shd w:fill="F5F5F5" w:val="clear"/>
          </w:tcPr>
          <w:p>
            <w:pPr>
              <w:jc w:val="center"/>
            </w:pPr>
            <w:r>
              <w:rPr>
                <w:rFonts w:ascii="Times New Roman" w:hAnsi="Times New Roman"/>
                <w:b w:val="0"/>
                <w:i w:val="0"/>
                <w:sz w:val="18"/>
              </w:rPr>
              <w:t>5.7</w:t>
            </w:r>
          </w:p>
        </w:tc>
        <w:tc>
          <w:tcPr>
            <w:tcW w:type="dxa" w:w="1152"/>
            <w:shd w:fill="F5F5F5" w:val="clear"/>
          </w:tcPr>
          <w:p>
            <w:pPr>
              <w:jc w:val="center"/>
            </w:pPr>
            <w:r>
              <w:rPr>
                <w:rFonts w:ascii="Times New Roman" w:hAnsi="Times New Roman"/>
                <w:b w:val="0"/>
                <w:i w:val="0"/>
                <w:sz w:val="18"/>
              </w:rPr>
              <w:t>4–8</w:t>
            </w:r>
          </w:p>
        </w:tc>
        <w:tc>
          <w:tcPr>
            <w:tcW w:type="dxa" w:w="4608"/>
            <w:shd w:fill="F5F5F5" w:val="clear"/>
          </w:tcPr>
          <w:p>
            <w:pPr>
              <w:jc w:val="center"/>
            </w:pPr>
            <w:r>
              <w:rPr>
                <w:rFonts w:ascii="Times New Roman" w:hAnsi="Times New Roman"/>
                <w:b w:val="0"/>
                <w:i w:val="0"/>
                <w:sz w:val="18"/>
              </w:rPr>
              <w:t>Motor vehicle, motorcycle, pedestrian, cyclist</w:t>
            </w:r>
          </w:p>
        </w:tc>
      </w:tr>
      <w:tr>
        <w:tc>
          <w:tcPr>
            <w:tcW w:type="dxa" w:w="2448"/>
          </w:tcPr>
          <w:p>
            <w:pPr>
              <w:jc w:val="left"/>
            </w:pPr>
            <w:r>
              <w:rPr>
                <w:rFonts w:ascii="Times New Roman" w:hAnsi="Times New Roman"/>
                <w:b w:val="0"/>
                <w:i w:val="0"/>
                <w:sz w:val="18"/>
              </w:rPr>
              <w:t>Poisoning</w:t>
            </w:r>
          </w:p>
        </w:tc>
        <w:tc>
          <w:tcPr>
            <w:tcW w:type="dxa" w:w="2160"/>
          </w:tcPr>
          <w:p>
            <w:pPr>
              <w:jc w:val="center"/>
            </w:pPr>
            <w:r>
              <w:rPr>
                <w:rFonts w:ascii="Times New Roman" w:hAnsi="Times New Roman"/>
                <w:b w:val="0"/>
                <w:i w:val="0"/>
                <w:sz w:val="18"/>
              </w:rPr>
              <w:t>4.4</w:t>
            </w:r>
          </w:p>
        </w:tc>
        <w:tc>
          <w:tcPr>
            <w:tcW w:type="dxa" w:w="1152"/>
          </w:tcPr>
          <w:p>
            <w:pPr>
              <w:jc w:val="center"/>
            </w:pPr>
            <w:r>
              <w:rPr>
                <w:rFonts w:ascii="Times New Roman" w:hAnsi="Times New Roman"/>
                <w:b w:val="0"/>
                <w:i w:val="0"/>
                <w:sz w:val="18"/>
              </w:rPr>
              <w:t>3–6</w:t>
            </w:r>
          </w:p>
        </w:tc>
        <w:tc>
          <w:tcPr>
            <w:tcW w:type="dxa" w:w="4608"/>
          </w:tcPr>
          <w:p>
            <w:pPr>
              <w:jc w:val="center"/>
            </w:pPr>
            <w:r>
              <w:rPr>
                <w:rFonts w:ascii="Times New Roman" w:hAnsi="Times New Roman"/>
                <w:b w:val="0"/>
                <w:i w:val="0"/>
                <w:sz w:val="18"/>
              </w:rPr>
              <w:t>Unintentional poisoning</w:t>
            </w:r>
          </w:p>
        </w:tc>
      </w:tr>
      <w:tr>
        <w:tc>
          <w:tcPr>
            <w:tcW w:type="dxa" w:w="2448"/>
            <w:shd w:fill="F5F5F5" w:val="clear"/>
          </w:tcPr>
          <w:p>
            <w:pPr>
              <w:jc w:val="left"/>
            </w:pPr>
            <w:r>
              <w:rPr>
                <w:rFonts w:ascii="Times New Roman" w:hAnsi="Times New Roman"/>
                <w:b w:val="0"/>
                <w:i w:val="0"/>
                <w:sz w:val="18"/>
              </w:rPr>
              <w:t>Self-harm</w:t>
            </w:r>
          </w:p>
        </w:tc>
        <w:tc>
          <w:tcPr>
            <w:tcW w:type="dxa" w:w="2160"/>
            <w:shd w:fill="F5F5F5" w:val="clear"/>
          </w:tcPr>
          <w:p>
            <w:pPr>
              <w:jc w:val="center"/>
            </w:pPr>
            <w:r>
              <w:rPr>
                <w:rFonts w:ascii="Times New Roman" w:hAnsi="Times New Roman"/>
                <w:b w:val="0"/>
                <w:i w:val="0"/>
                <w:sz w:val="18"/>
              </w:rPr>
              <w:t>2.6</w:t>
            </w:r>
          </w:p>
        </w:tc>
        <w:tc>
          <w:tcPr>
            <w:tcW w:type="dxa" w:w="1152"/>
            <w:shd w:fill="F5F5F5" w:val="clear"/>
          </w:tcPr>
          <w:p>
            <w:pPr>
              <w:jc w:val="center"/>
            </w:pPr>
            <w:r>
              <w:rPr>
                <w:rFonts w:ascii="Times New Roman" w:hAnsi="Times New Roman"/>
                <w:b w:val="0"/>
                <w:i w:val="0"/>
                <w:sz w:val="18"/>
              </w:rPr>
              <w:t>2–4</w:t>
            </w:r>
          </w:p>
        </w:tc>
        <w:tc>
          <w:tcPr>
            <w:tcW w:type="dxa" w:w="4608"/>
            <w:shd w:fill="F5F5F5" w:val="clear"/>
          </w:tcPr>
          <w:p>
            <w:pPr>
              <w:jc w:val="center"/>
            </w:pPr>
            <w:r>
              <w:rPr>
                <w:rFonts w:ascii="Times New Roman" w:hAnsi="Times New Roman"/>
                <w:b w:val="0"/>
                <w:i w:val="0"/>
                <w:sz w:val="18"/>
              </w:rPr>
              <w:t>Suicide and self-injury</w:t>
            </w:r>
          </w:p>
        </w:tc>
      </w:tr>
      <w:tr>
        <w:tc>
          <w:tcPr>
            <w:tcW w:type="dxa" w:w="2448"/>
          </w:tcPr>
          <w:p>
            <w:pPr>
              <w:jc w:val="left"/>
            </w:pPr>
            <w:r>
              <w:rPr>
                <w:rFonts w:ascii="Times New Roman" w:hAnsi="Times New Roman"/>
                <w:b w:val="0"/>
                <w:i w:val="0"/>
                <w:sz w:val="18"/>
              </w:rPr>
              <w:t>Drowning</w:t>
            </w:r>
          </w:p>
        </w:tc>
        <w:tc>
          <w:tcPr>
            <w:tcW w:type="dxa" w:w="2160"/>
          </w:tcPr>
          <w:p>
            <w:pPr>
              <w:jc w:val="center"/>
            </w:pPr>
            <w:r>
              <w:rPr>
                <w:rFonts w:ascii="Times New Roman" w:hAnsi="Times New Roman"/>
                <w:b w:val="0"/>
                <w:i w:val="0"/>
                <w:sz w:val="18"/>
              </w:rPr>
              <w:t>0.6</w:t>
            </w:r>
          </w:p>
        </w:tc>
        <w:tc>
          <w:tcPr>
            <w:tcW w:type="dxa" w:w="1152"/>
          </w:tcPr>
          <w:p>
            <w:pPr>
              <w:jc w:val="center"/>
            </w:pPr>
            <w:r>
              <w:rPr>
                <w:rFonts w:ascii="Times New Roman" w:hAnsi="Times New Roman"/>
                <w:b w:val="0"/>
                <w:i w:val="0"/>
                <w:sz w:val="18"/>
              </w:rPr>
              <w:t>0.4–0.8</w:t>
            </w:r>
          </w:p>
        </w:tc>
        <w:tc>
          <w:tcPr>
            <w:tcW w:type="dxa" w:w="4608"/>
          </w:tcPr>
          <w:p>
            <w:pPr>
              <w:jc w:val="center"/>
            </w:pPr>
            <w:r>
              <w:rPr>
                <w:rFonts w:ascii="Times New Roman" w:hAnsi="Times New Roman"/>
                <w:b w:val="0"/>
                <w:i w:val="0"/>
                <w:sz w:val="18"/>
              </w:rPr>
              <w:t>Near-drowning neurocognitive sequelae</w:t>
            </w:r>
          </w:p>
        </w:tc>
      </w:tr>
    </w:tbl>
    <w:p>
      <w:pPr>
        <w:spacing w:before="0" w:after="280"/>
        <w:jc w:val="left"/>
      </w:pPr>
      <w:r>
        <w:rPr>
          <w:rFonts w:ascii="Times New Roman" w:hAnsi="Times New Roman"/>
          <w:b w:val="0"/>
          <w:i/>
          <w:sz w:val="18"/>
        </w:rPr>
        <w:t>YLD = years lived with disability; YLL = years of life lost; IQR = interquartile range. Medians computed across all state–cause pairs with available data. Source: GBD 2023.</w:t>
      </w:r>
    </w:p>
    <w:p/>
    <w:p>
      <w:pPr>
        <w:spacing w:before="240" w:after="80"/>
      </w:pPr>
      <w:r>
        <w:rPr>
          <w:rFonts w:ascii="Times New Roman" w:hAnsi="Times New Roman"/>
          <w:b/>
          <w:i w:val="0"/>
          <w:sz w:val="22"/>
        </w:rPr>
        <w:t>Table 3. Hidden Disability Burden Index (HDBI) — state classification (GBD 2023, all injuries, 2021).</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304"/>
            <w:shd w:fill="2C3E50" w:color="FFFFFF" w:val="clear"/>
          </w:tcPr>
          <w:p>
            <w:pPr>
              <w:jc w:val="center"/>
            </w:pPr>
            <w:r>
              <w:rPr>
                <w:rFonts w:ascii="Times New Roman" w:hAnsi="Times New Roman"/>
                <w:b/>
                <w:i w:val="0"/>
                <w:color w:val="FFFFFF"/>
                <w:sz w:val="17"/>
              </w:rPr>
              <w:t>State/UT</w:t>
            </w:r>
          </w:p>
        </w:tc>
        <w:tc>
          <w:tcPr>
            <w:tcW w:type="dxa" w:w="1296"/>
            <w:shd w:fill="2C3E50" w:color="FFFFFF" w:val="clear"/>
          </w:tcPr>
          <w:p>
            <w:pPr>
              <w:jc w:val="center"/>
            </w:pPr>
            <w:r>
              <w:rPr>
                <w:rFonts w:ascii="Times New Roman" w:hAnsi="Times New Roman"/>
                <w:b/>
                <w:i w:val="0"/>
                <w:color w:val="FFFFFF"/>
                <w:sz w:val="17"/>
              </w:rPr>
              <w:t>DALY rate</w:t>
            </w:r>
          </w:p>
        </w:tc>
        <w:tc>
          <w:tcPr>
            <w:tcW w:type="dxa" w:w="1296"/>
            <w:shd w:fill="2C3E50" w:color="FFFFFF" w:val="clear"/>
          </w:tcPr>
          <w:p>
            <w:pPr>
              <w:jc w:val="center"/>
            </w:pPr>
            <w:r>
              <w:rPr>
                <w:rFonts w:ascii="Times New Roman" w:hAnsi="Times New Roman"/>
                <w:b/>
                <w:i w:val="0"/>
                <w:color w:val="FFFFFF"/>
                <w:sz w:val="17"/>
              </w:rPr>
              <w:t>Death rate</w:t>
            </w:r>
          </w:p>
        </w:tc>
        <w:tc>
          <w:tcPr>
            <w:tcW w:type="dxa" w:w="1296"/>
            <w:shd w:fill="2C3E50" w:color="FFFFFF" w:val="clear"/>
          </w:tcPr>
          <w:p>
            <w:pPr>
              <w:jc w:val="center"/>
            </w:pPr>
            <w:r>
              <w:rPr>
                <w:rFonts w:ascii="Times New Roman" w:hAnsi="Times New Roman"/>
                <w:b/>
                <w:i w:val="0"/>
                <w:color w:val="FFFFFF"/>
                <w:sz w:val="17"/>
              </w:rPr>
              <w:t>YLD rate</w:t>
            </w:r>
          </w:p>
        </w:tc>
        <w:tc>
          <w:tcPr>
            <w:tcW w:type="dxa" w:w="1440"/>
            <w:shd w:fill="2C3E50" w:color="FFFFFF" w:val="clear"/>
          </w:tcPr>
          <w:p>
            <w:pPr>
              <w:jc w:val="center"/>
            </w:pPr>
            <w:r>
              <w:rPr>
                <w:rFonts w:ascii="Times New Roman" w:hAnsi="Times New Roman"/>
                <w:b/>
                <w:i w:val="0"/>
                <w:color w:val="FFFFFF"/>
                <w:sz w:val="17"/>
              </w:rPr>
              <w:t>HDBI z-score</w:t>
            </w:r>
          </w:p>
        </w:tc>
        <w:tc>
          <w:tcPr>
            <w:tcW w:type="dxa" w:w="2448"/>
            <w:shd w:fill="2C3E50" w:color="FFFFFF" w:val="clear"/>
          </w:tcPr>
          <w:p>
            <w:pPr>
              <w:jc w:val="center"/>
            </w:pPr>
            <w:r>
              <w:rPr>
                <w:rFonts w:ascii="Times New Roman" w:hAnsi="Times New Roman"/>
                <w:b/>
                <w:i w:val="0"/>
                <w:color w:val="FFFFFF"/>
                <w:sz w:val="17"/>
              </w:rPr>
              <w:t>Classification</w:t>
            </w:r>
          </w:p>
        </w:tc>
      </w:tr>
      <w:tr>
        <w:tc>
          <w:tcPr>
            <w:tcW w:type="dxa" w:w="2304"/>
          </w:tcPr>
          <w:p>
            <w:pPr>
              <w:jc w:val="left"/>
            </w:pPr>
            <w:r>
              <w:rPr>
                <w:rFonts w:ascii="Times New Roman" w:hAnsi="Times New Roman"/>
                <w:b w:val="0"/>
                <w:i w:val="0"/>
                <w:sz w:val="17"/>
              </w:rPr>
              <w:t>Tamil Nadu</w:t>
            </w:r>
          </w:p>
        </w:tc>
        <w:tc>
          <w:tcPr>
            <w:tcW w:type="dxa" w:w="1296"/>
          </w:tcPr>
          <w:p>
            <w:pPr>
              <w:jc w:val="center"/>
            </w:pPr>
            <w:r>
              <w:rPr>
                <w:rFonts w:ascii="Times New Roman" w:hAnsi="Times New Roman"/>
                <w:b w:val="0"/>
                <w:i w:val="0"/>
                <w:sz w:val="17"/>
              </w:rPr>
              <w:t>4,486</w:t>
            </w:r>
          </w:p>
        </w:tc>
        <w:tc>
          <w:tcPr>
            <w:tcW w:type="dxa" w:w="1296"/>
          </w:tcPr>
          <w:p>
            <w:pPr>
              <w:jc w:val="center"/>
            </w:pPr>
            <w:r>
              <w:rPr>
                <w:rFonts w:ascii="Times New Roman" w:hAnsi="Times New Roman"/>
                <w:b w:val="0"/>
                <w:i w:val="0"/>
                <w:sz w:val="17"/>
              </w:rPr>
              <w:t>84.1</w:t>
            </w:r>
          </w:p>
        </w:tc>
        <w:tc>
          <w:tcPr>
            <w:tcW w:type="dxa" w:w="1296"/>
          </w:tcPr>
          <w:p>
            <w:pPr>
              <w:jc w:val="center"/>
            </w:pPr>
            <w:r>
              <w:rPr>
                <w:rFonts w:ascii="Times New Roman" w:hAnsi="Times New Roman"/>
                <w:b w:val="0"/>
                <w:i w:val="0"/>
                <w:sz w:val="17"/>
              </w:rPr>
              <w:t>1,042</w:t>
            </w:r>
          </w:p>
        </w:tc>
        <w:tc>
          <w:tcPr>
            <w:tcW w:type="dxa" w:w="1440"/>
          </w:tcPr>
          <w:p>
            <w:pPr>
              <w:jc w:val="center"/>
            </w:pPr>
            <w:r>
              <w:rPr>
                <w:rFonts w:ascii="Times New Roman" w:hAnsi="Times New Roman"/>
                <w:b w:val="0"/>
                <w:i w:val="0"/>
                <w:sz w:val="17"/>
              </w:rPr>
              <w:t>+1.86</w:t>
            </w:r>
          </w:p>
        </w:tc>
        <w:tc>
          <w:tcPr>
            <w:tcW w:type="dxa" w:w="2448"/>
          </w:tcPr>
          <w:p>
            <w:pPr>
              <w:jc w:val="center"/>
            </w:pPr>
            <w:r>
              <w:rPr>
                <w:rFonts w:ascii="Times New Roman" w:hAnsi="Times New Roman"/>
                <w:b w:val="0"/>
                <w:i w:val="0"/>
                <w:sz w:val="17"/>
              </w:rPr>
              <w:t>Disability-prominent</w:t>
            </w:r>
          </w:p>
        </w:tc>
      </w:tr>
      <w:tr>
        <w:tc>
          <w:tcPr>
            <w:tcW w:type="dxa" w:w="2304"/>
            <w:shd w:fill="F5F5F5" w:val="clear"/>
          </w:tcPr>
          <w:p>
            <w:pPr>
              <w:jc w:val="left"/>
            </w:pPr>
            <w:r>
              <w:rPr>
                <w:rFonts w:ascii="Times New Roman" w:hAnsi="Times New Roman"/>
                <w:b w:val="0"/>
                <w:i w:val="0"/>
                <w:sz w:val="17"/>
              </w:rPr>
              <w:t>Himachal Pradesh</w:t>
            </w:r>
          </w:p>
        </w:tc>
        <w:tc>
          <w:tcPr>
            <w:tcW w:type="dxa" w:w="1296"/>
            <w:shd w:fill="F5F5F5" w:val="clear"/>
          </w:tcPr>
          <w:p>
            <w:pPr>
              <w:jc w:val="center"/>
            </w:pPr>
            <w:r>
              <w:rPr>
                <w:rFonts w:ascii="Times New Roman" w:hAnsi="Times New Roman"/>
                <w:b w:val="0"/>
                <w:i w:val="0"/>
                <w:sz w:val="17"/>
              </w:rPr>
              <w:t>3,162</w:t>
            </w:r>
          </w:p>
        </w:tc>
        <w:tc>
          <w:tcPr>
            <w:tcW w:type="dxa" w:w="1296"/>
            <w:shd w:fill="F5F5F5" w:val="clear"/>
          </w:tcPr>
          <w:p>
            <w:pPr>
              <w:jc w:val="center"/>
            </w:pPr>
            <w:r>
              <w:rPr>
                <w:rFonts w:ascii="Times New Roman" w:hAnsi="Times New Roman"/>
                <w:b w:val="0"/>
                <w:i w:val="0"/>
                <w:sz w:val="17"/>
              </w:rPr>
              <w:t>57.8</w:t>
            </w:r>
          </w:p>
        </w:tc>
        <w:tc>
          <w:tcPr>
            <w:tcW w:type="dxa" w:w="1296"/>
            <w:shd w:fill="F5F5F5" w:val="clear"/>
          </w:tcPr>
          <w:p>
            <w:pPr>
              <w:jc w:val="center"/>
            </w:pPr>
            <w:r>
              <w:rPr>
                <w:rFonts w:ascii="Times New Roman" w:hAnsi="Times New Roman"/>
                <w:b w:val="0"/>
                <w:i w:val="0"/>
                <w:sz w:val="17"/>
              </w:rPr>
              <w:t>870</w:t>
            </w:r>
          </w:p>
        </w:tc>
        <w:tc>
          <w:tcPr>
            <w:tcW w:type="dxa" w:w="1440"/>
            <w:shd w:fill="F5F5F5" w:val="clear"/>
          </w:tcPr>
          <w:p>
            <w:pPr>
              <w:jc w:val="center"/>
            </w:pPr>
            <w:r>
              <w:rPr>
                <w:rFonts w:ascii="Times New Roman" w:hAnsi="Times New Roman"/>
                <w:b w:val="0"/>
                <w:i w:val="0"/>
                <w:sz w:val="17"/>
              </w:rPr>
              <w:t>+1.77</w:t>
            </w:r>
          </w:p>
        </w:tc>
        <w:tc>
          <w:tcPr>
            <w:tcW w:type="dxa" w:w="2448"/>
            <w:shd w:fill="F5F5F5" w:val="clear"/>
          </w:tcPr>
          <w:p>
            <w:pPr>
              <w:jc w:val="center"/>
            </w:pPr>
            <w:r>
              <w:rPr>
                <w:rFonts w:ascii="Times New Roman" w:hAnsi="Times New Roman"/>
                <w:b w:val="0"/>
                <w:i w:val="0"/>
                <w:sz w:val="17"/>
              </w:rPr>
              <w:t>Disability-prominent</w:t>
            </w:r>
          </w:p>
        </w:tc>
      </w:tr>
      <w:tr>
        <w:tc>
          <w:tcPr>
            <w:tcW w:type="dxa" w:w="2304"/>
          </w:tcPr>
          <w:p>
            <w:pPr>
              <w:jc w:val="left"/>
            </w:pPr>
            <w:r>
              <w:rPr>
                <w:rFonts w:ascii="Times New Roman" w:hAnsi="Times New Roman"/>
                <w:b w:val="0"/>
                <w:i w:val="0"/>
                <w:sz w:val="17"/>
              </w:rPr>
              <w:t>Maharashtra</w:t>
            </w:r>
          </w:p>
        </w:tc>
        <w:tc>
          <w:tcPr>
            <w:tcW w:type="dxa" w:w="1296"/>
          </w:tcPr>
          <w:p>
            <w:pPr>
              <w:jc w:val="center"/>
            </w:pPr>
            <w:r>
              <w:rPr>
                <w:rFonts w:ascii="Times New Roman" w:hAnsi="Times New Roman"/>
                <w:b w:val="0"/>
                <w:i w:val="0"/>
                <w:sz w:val="17"/>
              </w:rPr>
              <w:t>3,180</w:t>
            </w:r>
          </w:p>
        </w:tc>
        <w:tc>
          <w:tcPr>
            <w:tcW w:type="dxa" w:w="1296"/>
          </w:tcPr>
          <w:p>
            <w:pPr>
              <w:jc w:val="center"/>
            </w:pPr>
            <w:r>
              <w:rPr>
                <w:rFonts w:ascii="Times New Roman" w:hAnsi="Times New Roman"/>
                <w:b w:val="0"/>
                <w:i w:val="0"/>
                <w:sz w:val="17"/>
              </w:rPr>
              <w:t>56.7</w:t>
            </w:r>
          </w:p>
        </w:tc>
        <w:tc>
          <w:tcPr>
            <w:tcW w:type="dxa" w:w="1296"/>
          </w:tcPr>
          <w:p>
            <w:pPr>
              <w:jc w:val="center"/>
            </w:pPr>
            <w:r>
              <w:rPr>
                <w:rFonts w:ascii="Times New Roman" w:hAnsi="Times New Roman"/>
                <w:b w:val="0"/>
                <w:i w:val="0"/>
                <w:sz w:val="17"/>
              </w:rPr>
              <w:t>858</w:t>
            </w:r>
          </w:p>
        </w:tc>
        <w:tc>
          <w:tcPr>
            <w:tcW w:type="dxa" w:w="1440"/>
          </w:tcPr>
          <w:p>
            <w:pPr>
              <w:jc w:val="center"/>
            </w:pPr>
            <w:r>
              <w:rPr>
                <w:rFonts w:ascii="Times New Roman" w:hAnsi="Times New Roman"/>
                <w:b w:val="0"/>
                <w:i w:val="0"/>
                <w:sz w:val="17"/>
              </w:rPr>
              <w:t>+1.73</w:t>
            </w:r>
          </w:p>
        </w:tc>
        <w:tc>
          <w:tcPr>
            <w:tcW w:type="dxa" w:w="2448"/>
          </w:tcPr>
          <w:p>
            <w:pPr>
              <w:jc w:val="center"/>
            </w:pPr>
            <w:r>
              <w:rPr>
                <w:rFonts w:ascii="Times New Roman" w:hAnsi="Times New Roman"/>
                <w:b w:val="0"/>
                <w:i w:val="0"/>
                <w:sz w:val="17"/>
              </w:rPr>
              <w:t>Disability-prominent</w:t>
            </w:r>
          </w:p>
        </w:tc>
      </w:tr>
      <w:tr>
        <w:tc>
          <w:tcPr>
            <w:tcW w:type="dxa" w:w="2304"/>
            <w:shd w:fill="F5F5F5" w:val="clear"/>
          </w:tcPr>
          <w:p>
            <w:pPr>
              <w:jc w:val="left"/>
            </w:pPr>
            <w:r>
              <w:rPr>
                <w:rFonts w:ascii="Times New Roman" w:hAnsi="Times New Roman"/>
                <w:b w:val="0"/>
                <w:i w:val="0"/>
                <w:sz w:val="17"/>
              </w:rPr>
              <w:t>Kerala</w:t>
            </w:r>
          </w:p>
        </w:tc>
        <w:tc>
          <w:tcPr>
            <w:tcW w:type="dxa" w:w="1296"/>
            <w:shd w:fill="F5F5F5" w:val="clear"/>
          </w:tcPr>
          <w:p>
            <w:pPr>
              <w:jc w:val="center"/>
            </w:pPr>
            <w:r>
              <w:rPr>
                <w:rFonts w:ascii="Times New Roman" w:hAnsi="Times New Roman"/>
                <w:b w:val="0"/>
                <w:i w:val="0"/>
                <w:sz w:val="17"/>
              </w:rPr>
              <w:t>2,678</w:t>
            </w:r>
          </w:p>
        </w:tc>
        <w:tc>
          <w:tcPr>
            <w:tcW w:type="dxa" w:w="1296"/>
            <w:shd w:fill="F5F5F5" w:val="clear"/>
          </w:tcPr>
          <w:p>
            <w:pPr>
              <w:jc w:val="center"/>
            </w:pPr>
            <w:r>
              <w:rPr>
                <w:rFonts w:ascii="Times New Roman" w:hAnsi="Times New Roman"/>
                <w:b w:val="0"/>
                <w:i w:val="0"/>
                <w:sz w:val="17"/>
              </w:rPr>
              <w:t>53.4</w:t>
            </w:r>
          </w:p>
        </w:tc>
        <w:tc>
          <w:tcPr>
            <w:tcW w:type="dxa" w:w="1296"/>
            <w:shd w:fill="F5F5F5" w:val="clear"/>
          </w:tcPr>
          <w:p>
            <w:pPr>
              <w:jc w:val="center"/>
            </w:pPr>
            <w:r>
              <w:rPr>
                <w:rFonts w:ascii="Times New Roman" w:hAnsi="Times New Roman"/>
                <w:b w:val="0"/>
                <w:i w:val="0"/>
                <w:sz w:val="17"/>
              </w:rPr>
              <w:t>836</w:t>
            </w:r>
          </w:p>
        </w:tc>
        <w:tc>
          <w:tcPr>
            <w:tcW w:type="dxa" w:w="1440"/>
            <w:shd w:fill="F5F5F5" w:val="clear"/>
          </w:tcPr>
          <w:p>
            <w:pPr>
              <w:jc w:val="center"/>
            </w:pPr>
            <w:r>
              <w:rPr>
                <w:rFonts w:ascii="Times New Roman" w:hAnsi="Times New Roman"/>
                <w:b w:val="0"/>
                <w:i w:val="0"/>
                <w:sz w:val="17"/>
              </w:rPr>
              <w:t>+1.70</w:t>
            </w:r>
          </w:p>
        </w:tc>
        <w:tc>
          <w:tcPr>
            <w:tcW w:type="dxa" w:w="2448"/>
            <w:shd w:fill="F5F5F5" w:val="clear"/>
          </w:tcPr>
          <w:p>
            <w:pPr>
              <w:jc w:val="center"/>
            </w:pPr>
            <w:r>
              <w:rPr>
                <w:rFonts w:ascii="Times New Roman" w:hAnsi="Times New Roman"/>
                <w:b w:val="0"/>
                <w:i w:val="0"/>
                <w:sz w:val="17"/>
              </w:rPr>
              <w:t>Disability-prominent</w:t>
            </w:r>
          </w:p>
        </w:tc>
      </w:tr>
      <w:tr>
        <w:tc>
          <w:tcPr>
            <w:tcW w:type="dxa" w:w="2304"/>
          </w:tcPr>
          <w:p>
            <w:pPr>
              <w:jc w:val="left"/>
            </w:pPr>
            <w:r>
              <w:rPr>
                <w:rFonts w:ascii="Times New Roman" w:hAnsi="Times New Roman"/>
                <w:b w:val="0"/>
                <w:i w:val="0"/>
                <w:sz w:val="17"/>
              </w:rPr>
              <w:t>J&amp;K and Ladakh</w:t>
            </w:r>
          </w:p>
        </w:tc>
        <w:tc>
          <w:tcPr>
            <w:tcW w:type="dxa" w:w="1296"/>
          </w:tcPr>
          <w:p>
            <w:pPr>
              <w:jc w:val="center"/>
            </w:pPr>
            <w:r>
              <w:rPr>
                <w:rFonts w:ascii="Times New Roman" w:hAnsi="Times New Roman"/>
                <w:b w:val="0"/>
                <w:i w:val="0"/>
                <w:sz w:val="17"/>
              </w:rPr>
              <w:t>2,692</w:t>
            </w:r>
          </w:p>
        </w:tc>
        <w:tc>
          <w:tcPr>
            <w:tcW w:type="dxa" w:w="1296"/>
          </w:tcPr>
          <w:p>
            <w:pPr>
              <w:jc w:val="center"/>
            </w:pPr>
            <w:r>
              <w:rPr>
                <w:rFonts w:ascii="Times New Roman" w:hAnsi="Times New Roman"/>
                <w:b w:val="0"/>
                <w:i w:val="0"/>
                <w:sz w:val="17"/>
              </w:rPr>
              <w:t>43.7</w:t>
            </w:r>
          </w:p>
        </w:tc>
        <w:tc>
          <w:tcPr>
            <w:tcW w:type="dxa" w:w="1296"/>
          </w:tcPr>
          <w:p>
            <w:pPr>
              <w:jc w:val="center"/>
            </w:pPr>
            <w:r>
              <w:rPr>
                <w:rFonts w:ascii="Times New Roman" w:hAnsi="Times New Roman"/>
                <w:b w:val="0"/>
                <w:i w:val="0"/>
                <w:sz w:val="17"/>
              </w:rPr>
              <w:t>756</w:t>
            </w:r>
          </w:p>
        </w:tc>
        <w:tc>
          <w:tcPr>
            <w:tcW w:type="dxa" w:w="1440"/>
          </w:tcPr>
          <w:p>
            <w:pPr>
              <w:jc w:val="center"/>
            </w:pPr>
            <w:r>
              <w:rPr>
                <w:rFonts w:ascii="Times New Roman" w:hAnsi="Times New Roman"/>
                <w:b w:val="0"/>
                <w:i w:val="0"/>
                <w:sz w:val="17"/>
              </w:rPr>
              <w:t>+1.54</w:t>
            </w:r>
          </w:p>
        </w:tc>
        <w:tc>
          <w:tcPr>
            <w:tcW w:type="dxa" w:w="2448"/>
          </w:tcPr>
          <w:p>
            <w:pPr>
              <w:jc w:val="center"/>
            </w:pPr>
            <w:r>
              <w:rPr>
                <w:rFonts w:ascii="Times New Roman" w:hAnsi="Times New Roman"/>
                <w:b w:val="0"/>
                <w:i w:val="0"/>
                <w:sz w:val="17"/>
              </w:rPr>
              <w:t>Disability-prominent</w:t>
            </w:r>
          </w:p>
        </w:tc>
      </w:tr>
      <w:tr>
        <w:tc>
          <w:tcPr>
            <w:tcW w:type="dxa" w:w="2304"/>
            <w:shd w:fill="F5F5F5" w:val="clear"/>
          </w:tcPr>
          <w:p>
            <w:pPr>
              <w:jc w:val="left"/>
            </w:pPr>
            <w:r>
              <w:rPr>
                <w:rFonts w:ascii="Times New Roman" w:hAnsi="Times New Roman"/>
                <w:b w:val="0"/>
                <w:i w:val="0"/>
                <w:sz w:val="17"/>
              </w:rPr>
              <w:t>Sikkim</w:t>
            </w:r>
          </w:p>
        </w:tc>
        <w:tc>
          <w:tcPr>
            <w:tcW w:type="dxa" w:w="1296"/>
            <w:shd w:fill="F5F5F5" w:val="clear"/>
          </w:tcPr>
          <w:p>
            <w:pPr>
              <w:jc w:val="center"/>
            </w:pPr>
            <w:r>
              <w:rPr>
                <w:rFonts w:ascii="Times New Roman" w:hAnsi="Times New Roman"/>
                <w:b w:val="0"/>
                <w:i w:val="0"/>
                <w:sz w:val="17"/>
              </w:rPr>
              <w:t>2,655</w:t>
            </w:r>
          </w:p>
        </w:tc>
        <w:tc>
          <w:tcPr>
            <w:tcW w:type="dxa" w:w="1296"/>
            <w:shd w:fill="F5F5F5" w:val="clear"/>
          </w:tcPr>
          <w:p>
            <w:pPr>
              <w:jc w:val="center"/>
            </w:pPr>
            <w:r>
              <w:rPr>
                <w:rFonts w:ascii="Times New Roman" w:hAnsi="Times New Roman"/>
                <w:b w:val="0"/>
                <w:i w:val="0"/>
                <w:sz w:val="17"/>
              </w:rPr>
              <w:t>40.7</w:t>
            </w:r>
          </w:p>
        </w:tc>
        <w:tc>
          <w:tcPr>
            <w:tcW w:type="dxa" w:w="1296"/>
            <w:shd w:fill="F5F5F5" w:val="clear"/>
          </w:tcPr>
          <w:p>
            <w:pPr>
              <w:jc w:val="center"/>
            </w:pPr>
            <w:r>
              <w:rPr>
                <w:rFonts w:ascii="Times New Roman" w:hAnsi="Times New Roman"/>
                <w:b w:val="0"/>
                <w:i w:val="0"/>
                <w:sz w:val="17"/>
              </w:rPr>
              <w:t>727</w:t>
            </w:r>
          </w:p>
        </w:tc>
        <w:tc>
          <w:tcPr>
            <w:tcW w:type="dxa" w:w="1440"/>
            <w:shd w:fill="F5F5F5" w:val="clear"/>
          </w:tcPr>
          <w:p>
            <w:pPr>
              <w:jc w:val="center"/>
            </w:pPr>
            <w:r>
              <w:rPr>
                <w:rFonts w:ascii="Times New Roman" w:hAnsi="Times New Roman"/>
                <w:b w:val="0"/>
                <w:i w:val="0"/>
                <w:sz w:val="17"/>
              </w:rPr>
              <w:t>+1.45</w:t>
            </w:r>
          </w:p>
        </w:tc>
        <w:tc>
          <w:tcPr>
            <w:tcW w:type="dxa" w:w="2448"/>
            <w:shd w:fill="F5F5F5" w:val="clear"/>
          </w:tcPr>
          <w:p>
            <w:pPr>
              <w:jc w:val="center"/>
            </w:pPr>
            <w:r>
              <w:rPr>
                <w:rFonts w:ascii="Times New Roman" w:hAnsi="Times New Roman"/>
                <w:b w:val="0"/>
                <w:i w:val="0"/>
                <w:sz w:val="17"/>
              </w:rPr>
              <w:t>Disability-prominent</w:t>
            </w:r>
          </w:p>
        </w:tc>
      </w:tr>
      <w:tr>
        <w:tc>
          <w:tcPr>
            <w:tcW w:type="dxa" w:w="2304"/>
          </w:tcPr>
          <w:p>
            <w:pPr>
              <w:jc w:val="left"/>
            </w:pPr>
            <w:r>
              <w:rPr>
                <w:rFonts w:ascii="Times New Roman" w:hAnsi="Times New Roman"/>
                <w:b w:val="0"/>
                <w:i w:val="0"/>
                <w:sz w:val="17"/>
              </w:rPr>
              <w:t>West Bengal</w:t>
            </w:r>
          </w:p>
        </w:tc>
        <w:tc>
          <w:tcPr>
            <w:tcW w:type="dxa" w:w="1296"/>
          </w:tcPr>
          <w:p>
            <w:pPr>
              <w:jc w:val="center"/>
            </w:pPr>
            <w:r>
              <w:rPr>
                <w:rFonts w:ascii="Times New Roman" w:hAnsi="Times New Roman"/>
                <w:b w:val="0"/>
                <w:i w:val="0"/>
                <w:sz w:val="17"/>
              </w:rPr>
              <w:t>3,413</w:t>
            </w:r>
          </w:p>
        </w:tc>
        <w:tc>
          <w:tcPr>
            <w:tcW w:type="dxa" w:w="1296"/>
          </w:tcPr>
          <w:p>
            <w:pPr>
              <w:jc w:val="center"/>
            </w:pPr>
            <w:r>
              <w:rPr>
                <w:rFonts w:ascii="Times New Roman" w:hAnsi="Times New Roman"/>
                <w:b w:val="0"/>
                <w:i w:val="0"/>
                <w:sz w:val="17"/>
              </w:rPr>
              <w:t>58.9</w:t>
            </w:r>
          </w:p>
        </w:tc>
        <w:tc>
          <w:tcPr>
            <w:tcW w:type="dxa" w:w="1296"/>
          </w:tcPr>
          <w:p>
            <w:pPr>
              <w:jc w:val="center"/>
            </w:pPr>
            <w:r>
              <w:rPr>
                <w:rFonts w:ascii="Times New Roman" w:hAnsi="Times New Roman"/>
                <w:b w:val="0"/>
                <w:i w:val="0"/>
                <w:sz w:val="17"/>
              </w:rPr>
              <w:t>835</w:t>
            </w:r>
          </w:p>
        </w:tc>
        <w:tc>
          <w:tcPr>
            <w:tcW w:type="dxa" w:w="1440"/>
          </w:tcPr>
          <w:p>
            <w:pPr>
              <w:jc w:val="center"/>
            </w:pPr>
            <w:r>
              <w:rPr>
                <w:rFonts w:ascii="Times New Roman" w:hAnsi="Times New Roman"/>
                <w:b w:val="0"/>
                <w:i w:val="0"/>
                <w:sz w:val="17"/>
              </w:rPr>
              <w:t>+1.42</w:t>
            </w:r>
          </w:p>
        </w:tc>
        <w:tc>
          <w:tcPr>
            <w:tcW w:type="dxa" w:w="2448"/>
          </w:tcPr>
          <w:p>
            <w:pPr>
              <w:jc w:val="center"/>
            </w:pPr>
            <w:r>
              <w:rPr>
                <w:rFonts w:ascii="Times New Roman" w:hAnsi="Times New Roman"/>
                <w:b w:val="0"/>
                <w:i w:val="0"/>
                <w:sz w:val="17"/>
              </w:rPr>
              <w:t>Disability-prominent</w:t>
            </w:r>
          </w:p>
        </w:tc>
      </w:tr>
      <w:tr>
        <w:tc>
          <w:tcPr>
            <w:tcW w:type="dxa" w:w="2304"/>
            <w:shd w:fill="F5F5F5" w:val="clear"/>
          </w:tcPr>
          <w:p>
            <w:pPr>
              <w:jc w:val="left"/>
            </w:pPr>
            <w:r>
              <w:rPr>
                <w:rFonts w:ascii="Times New Roman" w:hAnsi="Times New Roman"/>
                <w:b w:val="0"/>
                <w:i w:val="0"/>
                <w:sz w:val="17"/>
              </w:rPr>
              <w:t>Goa</w:t>
            </w:r>
          </w:p>
        </w:tc>
        <w:tc>
          <w:tcPr>
            <w:tcW w:type="dxa" w:w="1296"/>
            <w:shd w:fill="F5F5F5" w:val="clear"/>
          </w:tcPr>
          <w:p>
            <w:pPr>
              <w:jc w:val="center"/>
            </w:pPr>
            <w:r>
              <w:rPr>
                <w:rFonts w:ascii="Times New Roman" w:hAnsi="Times New Roman"/>
                <w:b w:val="0"/>
                <w:i w:val="0"/>
                <w:sz w:val="17"/>
              </w:rPr>
              <w:t>4,634</w:t>
            </w:r>
          </w:p>
        </w:tc>
        <w:tc>
          <w:tcPr>
            <w:tcW w:type="dxa" w:w="1296"/>
            <w:shd w:fill="F5F5F5" w:val="clear"/>
          </w:tcPr>
          <w:p>
            <w:pPr>
              <w:jc w:val="center"/>
            </w:pPr>
            <w:r>
              <w:rPr>
                <w:rFonts w:ascii="Times New Roman" w:hAnsi="Times New Roman"/>
                <w:b w:val="0"/>
                <w:i w:val="0"/>
                <w:sz w:val="17"/>
              </w:rPr>
              <w:t>88.7</w:t>
            </w:r>
          </w:p>
        </w:tc>
        <w:tc>
          <w:tcPr>
            <w:tcW w:type="dxa" w:w="1296"/>
            <w:shd w:fill="F5F5F5" w:val="clear"/>
          </w:tcPr>
          <w:p>
            <w:pPr>
              <w:jc w:val="center"/>
            </w:pPr>
            <w:r>
              <w:rPr>
                <w:rFonts w:ascii="Times New Roman" w:hAnsi="Times New Roman"/>
                <w:b w:val="0"/>
                <w:i w:val="0"/>
                <w:sz w:val="17"/>
              </w:rPr>
              <w:t>953</w:t>
            </w:r>
          </w:p>
        </w:tc>
        <w:tc>
          <w:tcPr>
            <w:tcW w:type="dxa" w:w="1440"/>
            <w:shd w:fill="F5F5F5" w:val="clear"/>
          </w:tcPr>
          <w:p>
            <w:pPr>
              <w:jc w:val="center"/>
            </w:pPr>
            <w:r>
              <w:rPr>
                <w:rFonts w:ascii="Times New Roman" w:hAnsi="Times New Roman"/>
                <w:b w:val="0"/>
                <w:i w:val="0"/>
                <w:sz w:val="17"/>
              </w:rPr>
              <w:t>+0.88</w:t>
            </w:r>
          </w:p>
        </w:tc>
        <w:tc>
          <w:tcPr>
            <w:tcW w:type="dxa" w:w="2448"/>
            <w:shd w:fill="F5F5F5" w:val="clear"/>
          </w:tcPr>
          <w:p>
            <w:pPr>
              <w:jc w:val="center"/>
            </w:pPr>
            <w:r>
              <w:rPr>
                <w:rFonts w:ascii="Times New Roman" w:hAnsi="Times New Roman"/>
                <w:b w:val="0"/>
                <w:i w:val="0"/>
                <w:sz w:val="17"/>
              </w:rPr>
              <w:t>Disability-prominent</w:t>
            </w:r>
          </w:p>
        </w:tc>
      </w:tr>
      <w:tr>
        <w:tc>
          <w:tcPr>
            <w:tcW w:type="dxa" w:w="2304"/>
          </w:tcPr>
          <w:p>
            <w:pPr>
              <w:jc w:val="left"/>
            </w:pPr>
            <w:r>
              <w:rPr>
                <w:rFonts w:ascii="Times New Roman" w:hAnsi="Times New Roman"/>
                <w:b w:val="0"/>
                <w:i w:val="0"/>
                <w:sz w:val="17"/>
              </w:rPr>
              <w:t>Karnataka</w:t>
            </w:r>
          </w:p>
        </w:tc>
        <w:tc>
          <w:tcPr>
            <w:tcW w:type="dxa" w:w="1296"/>
          </w:tcPr>
          <w:p>
            <w:pPr>
              <w:jc w:val="center"/>
            </w:pPr>
            <w:r>
              <w:rPr>
                <w:rFonts w:ascii="Times New Roman" w:hAnsi="Times New Roman"/>
                <w:b w:val="0"/>
                <w:i w:val="0"/>
                <w:sz w:val="17"/>
              </w:rPr>
              <w:t>4,630</w:t>
            </w:r>
          </w:p>
        </w:tc>
        <w:tc>
          <w:tcPr>
            <w:tcW w:type="dxa" w:w="1296"/>
          </w:tcPr>
          <w:p>
            <w:pPr>
              <w:jc w:val="center"/>
            </w:pPr>
            <w:r>
              <w:rPr>
                <w:rFonts w:ascii="Times New Roman" w:hAnsi="Times New Roman"/>
                <w:b w:val="0"/>
                <w:i w:val="0"/>
                <w:sz w:val="17"/>
              </w:rPr>
              <w:t>82.8</w:t>
            </w:r>
          </w:p>
        </w:tc>
        <w:tc>
          <w:tcPr>
            <w:tcW w:type="dxa" w:w="1296"/>
          </w:tcPr>
          <w:p>
            <w:pPr>
              <w:jc w:val="center"/>
            </w:pPr>
            <w:r>
              <w:rPr>
                <w:rFonts w:ascii="Times New Roman" w:hAnsi="Times New Roman"/>
                <w:b w:val="0"/>
                <w:i w:val="0"/>
                <w:sz w:val="17"/>
              </w:rPr>
              <w:t>895</w:t>
            </w:r>
          </w:p>
        </w:tc>
        <w:tc>
          <w:tcPr>
            <w:tcW w:type="dxa" w:w="1440"/>
          </w:tcPr>
          <w:p>
            <w:pPr>
              <w:jc w:val="center"/>
            </w:pPr>
            <w:r>
              <w:rPr>
                <w:rFonts w:ascii="Times New Roman" w:hAnsi="Times New Roman"/>
                <w:b w:val="0"/>
                <w:i w:val="0"/>
                <w:sz w:val="17"/>
              </w:rPr>
              <w:t>+0.71</w:t>
            </w:r>
          </w:p>
        </w:tc>
        <w:tc>
          <w:tcPr>
            <w:tcW w:type="dxa" w:w="2448"/>
          </w:tcPr>
          <w:p>
            <w:pPr>
              <w:jc w:val="center"/>
            </w:pPr>
            <w:r>
              <w:rPr>
                <w:rFonts w:ascii="Times New Roman" w:hAnsi="Times New Roman"/>
                <w:b w:val="0"/>
                <w:i w:val="0"/>
                <w:sz w:val="17"/>
              </w:rPr>
              <w:t>Disability-prominent</w:t>
            </w:r>
          </w:p>
        </w:tc>
      </w:tr>
      <w:tr>
        <w:tc>
          <w:tcPr>
            <w:tcW w:type="dxa" w:w="2304"/>
            <w:shd w:fill="F5F5F5" w:val="clear"/>
          </w:tcPr>
          <w:p>
            <w:pPr>
              <w:jc w:val="left"/>
            </w:pPr>
            <w:r>
              <w:rPr>
                <w:rFonts w:ascii="Times New Roman" w:hAnsi="Times New Roman"/>
                <w:b w:val="0"/>
                <w:i w:val="0"/>
                <w:sz w:val="17"/>
              </w:rPr>
              <w:t>Rajasthan</w:t>
            </w:r>
          </w:p>
        </w:tc>
        <w:tc>
          <w:tcPr>
            <w:tcW w:type="dxa" w:w="1296"/>
            <w:shd w:fill="F5F5F5" w:val="clear"/>
          </w:tcPr>
          <w:p>
            <w:pPr>
              <w:jc w:val="center"/>
            </w:pPr>
            <w:r>
              <w:rPr>
                <w:rFonts w:ascii="Times New Roman" w:hAnsi="Times New Roman"/>
                <w:b w:val="0"/>
                <w:i w:val="0"/>
                <w:sz w:val="17"/>
              </w:rPr>
              <w:t>3,353</w:t>
            </w:r>
          </w:p>
        </w:tc>
        <w:tc>
          <w:tcPr>
            <w:tcW w:type="dxa" w:w="1296"/>
            <w:shd w:fill="F5F5F5" w:val="clear"/>
          </w:tcPr>
          <w:p>
            <w:pPr>
              <w:jc w:val="center"/>
            </w:pPr>
            <w:r>
              <w:rPr>
                <w:rFonts w:ascii="Times New Roman" w:hAnsi="Times New Roman"/>
                <w:b w:val="0"/>
                <w:i w:val="0"/>
                <w:sz w:val="17"/>
              </w:rPr>
              <w:t>53.2</w:t>
            </w:r>
          </w:p>
        </w:tc>
        <w:tc>
          <w:tcPr>
            <w:tcW w:type="dxa" w:w="1296"/>
            <w:shd w:fill="F5F5F5" w:val="clear"/>
          </w:tcPr>
          <w:p>
            <w:pPr>
              <w:jc w:val="center"/>
            </w:pPr>
            <w:r>
              <w:rPr>
                <w:rFonts w:ascii="Times New Roman" w:hAnsi="Times New Roman"/>
                <w:b w:val="0"/>
                <w:i w:val="0"/>
                <w:sz w:val="17"/>
              </w:rPr>
              <w:t>679</w:t>
            </w:r>
          </w:p>
        </w:tc>
        <w:tc>
          <w:tcPr>
            <w:tcW w:type="dxa" w:w="1440"/>
            <w:shd w:fill="F5F5F5" w:val="clear"/>
          </w:tcPr>
          <w:p>
            <w:pPr>
              <w:jc w:val="center"/>
            </w:pPr>
            <w:r>
              <w:rPr>
                <w:rFonts w:ascii="Times New Roman" w:hAnsi="Times New Roman"/>
                <w:b w:val="0"/>
                <w:i w:val="0"/>
                <w:sz w:val="17"/>
              </w:rPr>
              <w:t>+0.42</w:t>
            </w:r>
          </w:p>
        </w:tc>
        <w:tc>
          <w:tcPr>
            <w:tcW w:type="dxa" w:w="2448"/>
            <w:shd w:fill="F5F5F5" w:val="clear"/>
          </w:tcPr>
          <w:p>
            <w:pPr>
              <w:jc w:val="center"/>
            </w:pPr>
            <w:r>
              <w:rPr>
                <w:rFonts w:ascii="Times New Roman" w:hAnsi="Times New Roman"/>
                <w:b w:val="0"/>
                <w:i w:val="0"/>
                <w:sz w:val="17"/>
              </w:rPr>
              <w:t>Balanced</w:t>
            </w:r>
          </w:p>
        </w:tc>
      </w:tr>
      <w:tr>
        <w:tc>
          <w:tcPr>
            <w:tcW w:type="dxa" w:w="2304"/>
          </w:tcPr>
          <w:p>
            <w:pPr>
              <w:jc w:val="left"/>
            </w:pPr>
            <w:r>
              <w:rPr>
                <w:rFonts w:ascii="Times New Roman" w:hAnsi="Times New Roman"/>
                <w:b w:val="0"/>
                <w:i w:val="0"/>
                <w:sz w:val="17"/>
              </w:rPr>
              <w:t>Assam</w:t>
            </w:r>
          </w:p>
        </w:tc>
        <w:tc>
          <w:tcPr>
            <w:tcW w:type="dxa" w:w="1296"/>
          </w:tcPr>
          <w:p>
            <w:pPr>
              <w:jc w:val="center"/>
            </w:pPr>
            <w:r>
              <w:rPr>
                <w:rFonts w:ascii="Times New Roman" w:hAnsi="Times New Roman"/>
                <w:b w:val="0"/>
                <w:i w:val="0"/>
                <w:sz w:val="17"/>
              </w:rPr>
              <w:t>3,675</w:t>
            </w:r>
          </w:p>
        </w:tc>
        <w:tc>
          <w:tcPr>
            <w:tcW w:type="dxa" w:w="1296"/>
          </w:tcPr>
          <w:p>
            <w:pPr>
              <w:jc w:val="center"/>
            </w:pPr>
            <w:r>
              <w:rPr>
                <w:rFonts w:ascii="Times New Roman" w:hAnsi="Times New Roman"/>
                <w:b w:val="0"/>
                <w:i w:val="0"/>
                <w:sz w:val="17"/>
              </w:rPr>
              <w:t>63.6</w:t>
            </w:r>
          </w:p>
        </w:tc>
        <w:tc>
          <w:tcPr>
            <w:tcW w:type="dxa" w:w="1296"/>
          </w:tcPr>
          <w:p>
            <w:pPr>
              <w:jc w:val="center"/>
            </w:pPr>
            <w:r>
              <w:rPr>
                <w:rFonts w:ascii="Times New Roman" w:hAnsi="Times New Roman"/>
                <w:b w:val="0"/>
                <w:i w:val="0"/>
                <w:sz w:val="17"/>
              </w:rPr>
              <w:t>702</w:t>
            </w:r>
          </w:p>
        </w:tc>
        <w:tc>
          <w:tcPr>
            <w:tcW w:type="dxa" w:w="1440"/>
          </w:tcPr>
          <w:p>
            <w:pPr>
              <w:jc w:val="center"/>
            </w:pPr>
            <w:r>
              <w:rPr>
                <w:rFonts w:ascii="Times New Roman" w:hAnsi="Times New Roman"/>
                <w:b w:val="0"/>
                <w:i w:val="0"/>
                <w:sz w:val="17"/>
              </w:rPr>
              <w:t>+0.08</w:t>
            </w:r>
          </w:p>
        </w:tc>
        <w:tc>
          <w:tcPr>
            <w:tcW w:type="dxa" w:w="2448"/>
          </w:tcPr>
          <w:p>
            <w:pPr>
              <w:jc w:val="center"/>
            </w:pPr>
            <w:r>
              <w:rPr>
                <w:rFonts w:ascii="Times New Roman" w:hAnsi="Times New Roman"/>
                <w:b w:val="0"/>
                <w:i w:val="0"/>
                <w:sz w:val="17"/>
              </w:rPr>
              <w:t>Balanced</w:t>
            </w:r>
          </w:p>
        </w:tc>
      </w:tr>
      <w:tr>
        <w:tc>
          <w:tcPr>
            <w:tcW w:type="dxa" w:w="2304"/>
            <w:shd w:fill="F5F5F5" w:val="clear"/>
          </w:tcPr>
          <w:p>
            <w:pPr>
              <w:jc w:val="left"/>
            </w:pPr>
            <w:r>
              <w:rPr>
                <w:rFonts w:ascii="Times New Roman" w:hAnsi="Times New Roman"/>
                <w:b w:val="0"/>
                <w:i w:val="0"/>
                <w:sz w:val="17"/>
              </w:rPr>
              <w:t>Uttar Pradesh</w:t>
            </w:r>
          </w:p>
        </w:tc>
        <w:tc>
          <w:tcPr>
            <w:tcW w:type="dxa" w:w="1296"/>
            <w:shd w:fill="F5F5F5" w:val="clear"/>
          </w:tcPr>
          <w:p>
            <w:pPr>
              <w:jc w:val="center"/>
            </w:pPr>
            <w:r>
              <w:rPr>
                <w:rFonts w:ascii="Times New Roman" w:hAnsi="Times New Roman"/>
                <w:b w:val="0"/>
                <w:i w:val="0"/>
                <w:sz w:val="17"/>
              </w:rPr>
              <w:t>3,917</w:t>
            </w:r>
          </w:p>
        </w:tc>
        <w:tc>
          <w:tcPr>
            <w:tcW w:type="dxa" w:w="1296"/>
            <w:shd w:fill="F5F5F5" w:val="clear"/>
          </w:tcPr>
          <w:p>
            <w:pPr>
              <w:jc w:val="center"/>
            </w:pPr>
            <w:r>
              <w:rPr>
                <w:rFonts w:ascii="Times New Roman" w:hAnsi="Times New Roman"/>
                <w:b w:val="0"/>
                <w:i w:val="0"/>
                <w:sz w:val="17"/>
              </w:rPr>
              <w:t>67.1</w:t>
            </w:r>
          </w:p>
        </w:tc>
        <w:tc>
          <w:tcPr>
            <w:tcW w:type="dxa" w:w="1296"/>
            <w:shd w:fill="F5F5F5" w:val="clear"/>
          </w:tcPr>
          <w:p>
            <w:pPr>
              <w:jc w:val="center"/>
            </w:pPr>
            <w:r>
              <w:rPr>
                <w:rFonts w:ascii="Times New Roman" w:hAnsi="Times New Roman"/>
                <w:b w:val="0"/>
                <w:i w:val="0"/>
                <w:sz w:val="17"/>
              </w:rPr>
              <w:t>701</w:t>
            </w:r>
          </w:p>
        </w:tc>
        <w:tc>
          <w:tcPr>
            <w:tcW w:type="dxa" w:w="1440"/>
            <w:shd w:fill="F5F5F5" w:val="clear"/>
          </w:tcPr>
          <w:p>
            <w:pPr>
              <w:jc w:val="center"/>
            </w:pPr>
            <w:r>
              <w:rPr>
                <w:rFonts w:ascii="Times New Roman" w:hAnsi="Times New Roman"/>
                <w:b w:val="0"/>
                <w:i w:val="0"/>
                <w:sz w:val="17"/>
              </w:rPr>
              <w:t>−0.10</w:t>
            </w:r>
          </w:p>
        </w:tc>
        <w:tc>
          <w:tcPr>
            <w:tcW w:type="dxa" w:w="2448"/>
            <w:shd w:fill="F5F5F5" w:val="clear"/>
          </w:tcPr>
          <w:p>
            <w:pPr>
              <w:jc w:val="center"/>
            </w:pPr>
            <w:r>
              <w:rPr>
                <w:rFonts w:ascii="Times New Roman" w:hAnsi="Times New Roman"/>
                <w:b w:val="0"/>
                <w:i w:val="0"/>
                <w:sz w:val="17"/>
              </w:rPr>
              <w:t>Balanced</w:t>
            </w:r>
          </w:p>
        </w:tc>
      </w:tr>
      <w:tr>
        <w:tc>
          <w:tcPr>
            <w:tcW w:type="dxa" w:w="2304"/>
          </w:tcPr>
          <w:p>
            <w:pPr>
              <w:jc w:val="left"/>
            </w:pPr>
            <w:r>
              <w:rPr>
                <w:rFonts w:ascii="Times New Roman" w:hAnsi="Times New Roman"/>
                <w:b w:val="0"/>
                <w:i w:val="0"/>
                <w:sz w:val="17"/>
              </w:rPr>
              <w:t>Tripura</w:t>
            </w:r>
          </w:p>
        </w:tc>
        <w:tc>
          <w:tcPr>
            <w:tcW w:type="dxa" w:w="1296"/>
          </w:tcPr>
          <w:p>
            <w:pPr>
              <w:jc w:val="center"/>
            </w:pPr>
            <w:r>
              <w:rPr>
                <w:rFonts w:ascii="Times New Roman" w:hAnsi="Times New Roman"/>
                <w:b w:val="0"/>
                <w:i w:val="0"/>
                <w:sz w:val="17"/>
              </w:rPr>
              <w:t>3,736</w:t>
            </w:r>
          </w:p>
        </w:tc>
        <w:tc>
          <w:tcPr>
            <w:tcW w:type="dxa" w:w="1296"/>
          </w:tcPr>
          <w:p>
            <w:pPr>
              <w:jc w:val="center"/>
            </w:pPr>
            <w:r>
              <w:rPr>
                <w:rFonts w:ascii="Times New Roman" w:hAnsi="Times New Roman"/>
                <w:b w:val="0"/>
                <w:i w:val="0"/>
                <w:sz w:val="17"/>
              </w:rPr>
              <w:t>63.8</w:t>
            </w:r>
          </w:p>
        </w:tc>
        <w:tc>
          <w:tcPr>
            <w:tcW w:type="dxa" w:w="1296"/>
          </w:tcPr>
          <w:p>
            <w:pPr>
              <w:jc w:val="center"/>
            </w:pPr>
            <w:r>
              <w:rPr>
                <w:rFonts w:ascii="Times New Roman" w:hAnsi="Times New Roman"/>
                <w:b w:val="0"/>
                <w:i w:val="0"/>
                <w:sz w:val="17"/>
              </w:rPr>
              <w:t>632</w:t>
            </w:r>
          </w:p>
        </w:tc>
        <w:tc>
          <w:tcPr>
            <w:tcW w:type="dxa" w:w="1440"/>
          </w:tcPr>
          <w:p>
            <w:pPr>
              <w:jc w:val="center"/>
            </w:pPr>
            <w:r>
              <w:rPr>
                <w:rFonts w:ascii="Times New Roman" w:hAnsi="Times New Roman"/>
                <w:b w:val="0"/>
                <w:i w:val="0"/>
                <w:sz w:val="17"/>
              </w:rPr>
              <w:t>−0.50</w:t>
            </w:r>
          </w:p>
        </w:tc>
        <w:tc>
          <w:tcPr>
            <w:tcW w:type="dxa" w:w="2448"/>
          </w:tcPr>
          <w:p>
            <w:pPr>
              <w:jc w:val="center"/>
            </w:pPr>
            <w:r>
              <w:rPr>
                <w:rFonts w:ascii="Times New Roman" w:hAnsi="Times New Roman"/>
                <w:b w:val="0"/>
                <w:i w:val="0"/>
                <w:sz w:val="17"/>
              </w:rPr>
              <w:t>Mortality-prominent</w:t>
            </w:r>
          </w:p>
        </w:tc>
      </w:tr>
      <w:tr>
        <w:tc>
          <w:tcPr>
            <w:tcW w:type="dxa" w:w="2304"/>
            <w:shd w:fill="F5F5F5" w:val="clear"/>
          </w:tcPr>
          <w:p>
            <w:pPr>
              <w:jc w:val="left"/>
            </w:pPr>
            <w:r>
              <w:rPr>
                <w:rFonts w:ascii="Times New Roman" w:hAnsi="Times New Roman"/>
                <w:b w:val="0"/>
                <w:i w:val="0"/>
                <w:sz w:val="17"/>
              </w:rPr>
              <w:t>Andhra Pradesh</w:t>
            </w:r>
          </w:p>
        </w:tc>
        <w:tc>
          <w:tcPr>
            <w:tcW w:type="dxa" w:w="1296"/>
            <w:shd w:fill="F5F5F5" w:val="clear"/>
          </w:tcPr>
          <w:p>
            <w:pPr>
              <w:jc w:val="center"/>
            </w:pPr>
            <w:r>
              <w:rPr>
                <w:rFonts w:ascii="Times New Roman" w:hAnsi="Times New Roman"/>
                <w:b w:val="0"/>
                <w:i w:val="0"/>
                <w:sz w:val="17"/>
              </w:rPr>
              <w:t>4,655</w:t>
            </w:r>
          </w:p>
        </w:tc>
        <w:tc>
          <w:tcPr>
            <w:tcW w:type="dxa" w:w="1296"/>
            <w:shd w:fill="F5F5F5" w:val="clear"/>
          </w:tcPr>
          <w:p>
            <w:pPr>
              <w:jc w:val="center"/>
            </w:pPr>
            <w:r>
              <w:rPr>
                <w:rFonts w:ascii="Times New Roman" w:hAnsi="Times New Roman"/>
                <w:b w:val="0"/>
                <w:i w:val="0"/>
                <w:sz w:val="17"/>
              </w:rPr>
              <w:t>94.5</w:t>
            </w:r>
          </w:p>
        </w:tc>
        <w:tc>
          <w:tcPr>
            <w:tcW w:type="dxa" w:w="1296"/>
            <w:shd w:fill="F5F5F5" w:val="clear"/>
          </w:tcPr>
          <w:p>
            <w:pPr>
              <w:jc w:val="center"/>
            </w:pPr>
            <w:r>
              <w:rPr>
                <w:rFonts w:ascii="Times New Roman" w:hAnsi="Times New Roman"/>
                <w:b w:val="0"/>
                <w:i w:val="0"/>
                <w:sz w:val="17"/>
              </w:rPr>
              <w:t>777</w:t>
            </w:r>
          </w:p>
        </w:tc>
        <w:tc>
          <w:tcPr>
            <w:tcW w:type="dxa" w:w="1440"/>
            <w:shd w:fill="F5F5F5" w:val="clear"/>
          </w:tcPr>
          <w:p>
            <w:pPr>
              <w:jc w:val="center"/>
            </w:pPr>
            <w:r>
              <w:rPr>
                <w:rFonts w:ascii="Times New Roman" w:hAnsi="Times New Roman"/>
                <w:b w:val="0"/>
                <w:i w:val="0"/>
                <w:sz w:val="17"/>
              </w:rPr>
              <w:t>−0.87</w:t>
            </w:r>
          </w:p>
        </w:tc>
        <w:tc>
          <w:tcPr>
            <w:tcW w:type="dxa" w:w="2448"/>
            <w:shd w:fill="F5F5F5" w:val="clear"/>
          </w:tcPr>
          <w:p>
            <w:pPr>
              <w:jc w:val="center"/>
            </w:pPr>
            <w:r>
              <w:rPr>
                <w:rFonts w:ascii="Times New Roman" w:hAnsi="Times New Roman"/>
                <w:b w:val="0"/>
                <w:i w:val="0"/>
                <w:sz w:val="17"/>
              </w:rPr>
              <w:t>Mortality-prominent</w:t>
            </w:r>
          </w:p>
        </w:tc>
      </w:tr>
      <w:tr>
        <w:tc>
          <w:tcPr>
            <w:tcW w:type="dxa" w:w="2304"/>
          </w:tcPr>
          <w:p>
            <w:pPr>
              <w:jc w:val="left"/>
            </w:pPr>
            <w:r>
              <w:rPr>
                <w:rFonts w:ascii="Times New Roman" w:hAnsi="Times New Roman"/>
                <w:b w:val="0"/>
                <w:i w:val="0"/>
                <w:sz w:val="17"/>
              </w:rPr>
              <w:t>Odisha</w:t>
            </w:r>
          </w:p>
        </w:tc>
        <w:tc>
          <w:tcPr>
            <w:tcW w:type="dxa" w:w="1296"/>
          </w:tcPr>
          <w:p>
            <w:pPr>
              <w:jc w:val="center"/>
            </w:pPr>
            <w:r>
              <w:rPr>
                <w:rFonts w:ascii="Times New Roman" w:hAnsi="Times New Roman"/>
                <w:b w:val="0"/>
                <w:i w:val="0"/>
                <w:sz w:val="17"/>
              </w:rPr>
              <w:t>4,168</w:t>
            </w:r>
          </w:p>
        </w:tc>
        <w:tc>
          <w:tcPr>
            <w:tcW w:type="dxa" w:w="1296"/>
          </w:tcPr>
          <w:p>
            <w:pPr>
              <w:jc w:val="center"/>
            </w:pPr>
            <w:r>
              <w:rPr>
                <w:rFonts w:ascii="Times New Roman" w:hAnsi="Times New Roman"/>
                <w:b w:val="0"/>
                <w:i w:val="0"/>
                <w:sz w:val="17"/>
              </w:rPr>
              <w:t>79.9</w:t>
            </w:r>
          </w:p>
        </w:tc>
        <w:tc>
          <w:tcPr>
            <w:tcW w:type="dxa" w:w="1296"/>
          </w:tcPr>
          <w:p>
            <w:pPr>
              <w:jc w:val="center"/>
            </w:pPr>
            <w:r>
              <w:rPr>
                <w:rFonts w:ascii="Times New Roman" w:hAnsi="Times New Roman"/>
                <w:b w:val="0"/>
                <w:i w:val="0"/>
                <w:sz w:val="17"/>
              </w:rPr>
              <w:t>684</w:t>
            </w:r>
          </w:p>
        </w:tc>
        <w:tc>
          <w:tcPr>
            <w:tcW w:type="dxa" w:w="1440"/>
          </w:tcPr>
          <w:p>
            <w:pPr>
              <w:jc w:val="center"/>
            </w:pPr>
            <w:r>
              <w:rPr>
                <w:rFonts w:ascii="Times New Roman" w:hAnsi="Times New Roman"/>
                <w:b w:val="0"/>
                <w:i w:val="0"/>
                <w:sz w:val="17"/>
              </w:rPr>
              <w:t>−0.89</w:t>
            </w:r>
          </w:p>
        </w:tc>
        <w:tc>
          <w:tcPr>
            <w:tcW w:type="dxa" w:w="2448"/>
          </w:tcPr>
          <w:p>
            <w:pPr>
              <w:jc w:val="center"/>
            </w:pPr>
            <w:r>
              <w:rPr>
                <w:rFonts w:ascii="Times New Roman" w:hAnsi="Times New Roman"/>
                <w:b w:val="0"/>
                <w:i w:val="0"/>
                <w:sz w:val="17"/>
              </w:rPr>
              <w:t>Mortality-prominent</w:t>
            </w:r>
          </w:p>
        </w:tc>
      </w:tr>
      <w:tr>
        <w:tc>
          <w:tcPr>
            <w:tcW w:type="dxa" w:w="2304"/>
            <w:shd w:fill="F5F5F5" w:val="clear"/>
          </w:tcPr>
          <w:p>
            <w:pPr>
              <w:jc w:val="left"/>
            </w:pPr>
            <w:r>
              <w:rPr>
                <w:rFonts w:ascii="Times New Roman" w:hAnsi="Times New Roman"/>
                <w:b w:val="0"/>
                <w:i w:val="0"/>
                <w:sz w:val="17"/>
              </w:rPr>
              <w:t>Madhya Pradesh</w:t>
            </w:r>
          </w:p>
        </w:tc>
        <w:tc>
          <w:tcPr>
            <w:tcW w:type="dxa" w:w="1296"/>
            <w:shd w:fill="F5F5F5" w:val="clear"/>
          </w:tcPr>
          <w:p>
            <w:pPr>
              <w:jc w:val="center"/>
            </w:pPr>
            <w:r>
              <w:rPr>
                <w:rFonts w:ascii="Times New Roman" w:hAnsi="Times New Roman"/>
                <w:b w:val="0"/>
                <w:i w:val="0"/>
                <w:sz w:val="17"/>
              </w:rPr>
              <w:t>4,358</w:t>
            </w:r>
          </w:p>
        </w:tc>
        <w:tc>
          <w:tcPr>
            <w:tcW w:type="dxa" w:w="1296"/>
            <w:shd w:fill="F5F5F5" w:val="clear"/>
          </w:tcPr>
          <w:p>
            <w:pPr>
              <w:jc w:val="center"/>
            </w:pPr>
            <w:r>
              <w:rPr>
                <w:rFonts w:ascii="Times New Roman" w:hAnsi="Times New Roman"/>
                <w:b w:val="0"/>
                <w:i w:val="0"/>
                <w:sz w:val="17"/>
              </w:rPr>
              <w:t>73.9</w:t>
            </w:r>
          </w:p>
        </w:tc>
        <w:tc>
          <w:tcPr>
            <w:tcW w:type="dxa" w:w="1296"/>
            <w:shd w:fill="F5F5F5" w:val="clear"/>
          </w:tcPr>
          <w:p>
            <w:pPr>
              <w:jc w:val="center"/>
            </w:pPr>
            <w:r>
              <w:rPr>
                <w:rFonts w:ascii="Times New Roman" w:hAnsi="Times New Roman"/>
                <w:b w:val="0"/>
                <w:i w:val="0"/>
                <w:sz w:val="17"/>
              </w:rPr>
              <w:t>635</w:t>
            </w:r>
          </w:p>
        </w:tc>
        <w:tc>
          <w:tcPr>
            <w:tcW w:type="dxa" w:w="1440"/>
            <w:shd w:fill="F5F5F5" w:val="clear"/>
          </w:tcPr>
          <w:p>
            <w:pPr>
              <w:jc w:val="center"/>
            </w:pPr>
            <w:r>
              <w:rPr>
                <w:rFonts w:ascii="Times New Roman" w:hAnsi="Times New Roman"/>
                <w:b w:val="0"/>
                <w:i w:val="0"/>
                <w:sz w:val="17"/>
              </w:rPr>
              <w:t>−0.99</w:t>
            </w:r>
          </w:p>
        </w:tc>
        <w:tc>
          <w:tcPr>
            <w:tcW w:type="dxa" w:w="2448"/>
            <w:shd w:fill="F5F5F5" w:val="clear"/>
          </w:tcPr>
          <w:p>
            <w:pPr>
              <w:jc w:val="center"/>
            </w:pPr>
            <w:r>
              <w:rPr>
                <w:rFonts w:ascii="Times New Roman" w:hAnsi="Times New Roman"/>
                <w:b w:val="0"/>
                <w:i w:val="0"/>
                <w:sz w:val="17"/>
              </w:rPr>
              <w:t>Mortality-prominent</w:t>
            </w:r>
          </w:p>
        </w:tc>
      </w:tr>
      <w:tr>
        <w:tc>
          <w:tcPr>
            <w:tcW w:type="dxa" w:w="2304"/>
          </w:tcPr>
          <w:p>
            <w:pPr>
              <w:jc w:val="left"/>
            </w:pPr>
            <w:r>
              <w:rPr>
                <w:rFonts w:ascii="Times New Roman" w:hAnsi="Times New Roman"/>
                <w:b w:val="0"/>
                <w:i w:val="0"/>
                <w:sz w:val="17"/>
              </w:rPr>
              <w:t>Gujarat</w:t>
            </w:r>
          </w:p>
        </w:tc>
        <w:tc>
          <w:tcPr>
            <w:tcW w:type="dxa" w:w="1296"/>
          </w:tcPr>
          <w:p>
            <w:pPr>
              <w:jc w:val="center"/>
            </w:pPr>
            <w:r>
              <w:rPr>
                <w:rFonts w:ascii="Times New Roman" w:hAnsi="Times New Roman"/>
                <w:b w:val="0"/>
                <w:i w:val="0"/>
                <w:sz w:val="17"/>
              </w:rPr>
              <w:t>4,474</w:t>
            </w:r>
          </w:p>
        </w:tc>
        <w:tc>
          <w:tcPr>
            <w:tcW w:type="dxa" w:w="1296"/>
          </w:tcPr>
          <w:p>
            <w:pPr>
              <w:jc w:val="center"/>
            </w:pPr>
            <w:r>
              <w:rPr>
                <w:rFonts w:ascii="Times New Roman" w:hAnsi="Times New Roman"/>
                <w:b w:val="0"/>
                <w:i w:val="0"/>
                <w:sz w:val="17"/>
              </w:rPr>
              <w:t>88.6</w:t>
            </w:r>
          </w:p>
        </w:tc>
        <w:tc>
          <w:tcPr>
            <w:tcW w:type="dxa" w:w="1296"/>
          </w:tcPr>
          <w:p>
            <w:pPr>
              <w:jc w:val="center"/>
            </w:pPr>
            <w:r>
              <w:rPr>
                <w:rFonts w:ascii="Times New Roman" w:hAnsi="Times New Roman"/>
                <w:b w:val="0"/>
                <w:i w:val="0"/>
                <w:sz w:val="17"/>
              </w:rPr>
              <w:t>712</w:t>
            </w:r>
          </w:p>
        </w:tc>
        <w:tc>
          <w:tcPr>
            <w:tcW w:type="dxa" w:w="1440"/>
          </w:tcPr>
          <w:p>
            <w:pPr>
              <w:jc w:val="center"/>
            </w:pPr>
            <w:r>
              <w:rPr>
                <w:rFonts w:ascii="Times New Roman" w:hAnsi="Times New Roman"/>
                <w:b w:val="0"/>
                <w:i w:val="0"/>
                <w:sz w:val="17"/>
              </w:rPr>
              <w:t>−1.10</w:t>
            </w:r>
          </w:p>
        </w:tc>
        <w:tc>
          <w:tcPr>
            <w:tcW w:type="dxa" w:w="2448"/>
          </w:tcPr>
          <w:p>
            <w:pPr>
              <w:jc w:val="center"/>
            </w:pPr>
            <w:r>
              <w:rPr>
                <w:rFonts w:ascii="Times New Roman" w:hAnsi="Times New Roman"/>
                <w:b w:val="0"/>
                <w:i w:val="0"/>
                <w:sz w:val="17"/>
              </w:rPr>
              <w:t>Mortality-prominent</w:t>
            </w:r>
          </w:p>
        </w:tc>
      </w:tr>
      <w:tr>
        <w:tc>
          <w:tcPr>
            <w:tcW w:type="dxa" w:w="2304"/>
            <w:shd w:fill="F5F5F5" w:val="clear"/>
          </w:tcPr>
          <w:p>
            <w:pPr>
              <w:jc w:val="left"/>
            </w:pPr>
            <w:r>
              <w:rPr>
                <w:rFonts w:ascii="Times New Roman" w:hAnsi="Times New Roman"/>
                <w:b w:val="0"/>
                <w:i w:val="0"/>
                <w:sz w:val="17"/>
              </w:rPr>
              <w:t>Jharkhand</w:t>
            </w:r>
          </w:p>
        </w:tc>
        <w:tc>
          <w:tcPr>
            <w:tcW w:type="dxa" w:w="1296"/>
            <w:shd w:fill="F5F5F5" w:val="clear"/>
          </w:tcPr>
          <w:p>
            <w:pPr>
              <w:jc w:val="center"/>
            </w:pPr>
            <w:r>
              <w:rPr>
                <w:rFonts w:ascii="Times New Roman" w:hAnsi="Times New Roman"/>
                <w:b w:val="0"/>
                <w:i w:val="0"/>
                <w:sz w:val="17"/>
              </w:rPr>
              <w:t>3,959</w:t>
            </w:r>
          </w:p>
        </w:tc>
        <w:tc>
          <w:tcPr>
            <w:tcW w:type="dxa" w:w="1296"/>
            <w:shd w:fill="F5F5F5" w:val="clear"/>
          </w:tcPr>
          <w:p>
            <w:pPr>
              <w:jc w:val="center"/>
            </w:pPr>
            <w:r>
              <w:rPr>
                <w:rFonts w:ascii="Times New Roman" w:hAnsi="Times New Roman"/>
                <w:b w:val="0"/>
                <w:i w:val="0"/>
                <w:sz w:val="17"/>
              </w:rPr>
              <w:t>72.1</w:t>
            </w:r>
          </w:p>
        </w:tc>
        <w:tc>
          <w:tcPr>
            <w:tcW w:type="dxa" w:w="1296"/>
            <w:shd w:fill="F5F5F5" w:val="clear"/>
          </w:tcPr>
          <w:p>
            <w:pPr>
              <w:jc w:val="center"/>
            </w:pPr>
            <w:r>
              <w:rPr>
                <w:rFonts w:ascii="Times New Roman" w:hAnsi="Times New Roman"/>
                <w:b w:val="0"/>
                <w:i w:val="0"/>
                <w:sz w:val="17"/>
              </w:rPr>
              <w:t>597</w:t>
            </w:r>
          </w:p>
        </w:tc>
        <w:tc>
          <w:tcPr>
            <w:tcW w:type="dxa" w:w="1440"/>
            <w:shd w:fill="F5F5F5" w:val="clear"/>
          </w:tcPr>
          <w:p>
            <w:pPr>
              <w:jc w:val="center"/>
            </w:pPr>
            <w:r>
              <w:rPr>
                <w:rFonts w:ascii="Times New Roman" w:hAnsi="Times New Roman"/>
                <w:b w:val="0"/>
                <w:i w:val="0"/>
                <w:sz w:val="17"/>
              </w:rPr>
              <w:t>−1.21</w:t>
            </w:r>
          </w:p>
        </w:tc>
        <w:tc>
          <w:tcPr>
            <w:tcW w:type="dxa" w:w="2448"/>
            <w:shd w:fill="F5F5F5" w:val="clear"/>
          </w:tcPr>
          <w:p>
            <w:pPr>
              <w:jc w:val="center"/>
            </w:pPr>
            <w:r>
              <w:rPr>
                <w:rFonts w:ascii="Times New Roman" w:hAnsi="Times New Roman"/>
                <w:b w:val="0"/>
                <w:i w:val="0"/>
                <w:sz w:val="17"/>
              </w:rPr>
              <w:t>Mortality-prominent</w:t>
            </w:r>
          </w:p>
        </w:tc>
      </w:tr>
      <w:tr>
        <w:tc>
          <w:tcPr>
            <w:tcW w:type="dxa" w:w="2304"/>
          </w:tcPr>
          <w:p>
            <w:pPr>
              <w:jc w:val="left"/>
            </w:pPr>
            <w:r>
              <w:rPr>
                <w:rFonts w:ascii="Times New Roman" w:hAnsi="Times New Roman"/>
                <w:b w:val="0"/>
                <w:i w:val="0"/>
                <w:sz w:val="17"/>
              </w:rPr>
              <w:t>Uttarakhand</w:t>
            </w:r>
          </w:p>
        </w:tc>
        <w:tc>
          <w:tcPr>
            <w:tcW w:type="dxa" w:w="1296"/>
          </w:tcPr>
          <w:p>
            <w:pPr>
              <w:jc w:val="center"/>
            </w:pPr>
            <w:r>
              <w:rPr>
                <w:rFonts w:ascii="Times New Roman" w:hAnsi="Times New Roman"/>
                <w:b w:val="0"/>
                <w:i w:val="0"/>
                <w:sz w:val="17"/>
              </w:rPr>
              <w:t>4,991</w:t>
            </w:r>
          </w:p>
        </w:tc>
        <w:tc>
          <w:tcPr>
            <w:tcW w:type="dxa" w:w="1296"/>
          </w:tcPr>
          <w:p>
            <w:pPr>
              <w:jc w:val="center"/>
            </w:pPr>
            <w:r>
              <w:rPr>
                <w:rFonts w:ascii="Times New Roman" w:hAnsi="Times New Roman"/>
                <w:b w:val="0"/>
                <w:i w:val="0"/>
                <w:sz w:val="17"/>
              </w:rPr>
              <w:t>94.9</w:t>
            </w:r>
          </w:p>
        </w:tc>
        <w:tc>
          <w:tcPr>
            <w:tcW w:type="dxa" w:w="1296"/>
          </w:tcPr>
          <w:p>
            <w:pPr>
              <w:jc w:val="center"/>
            </w:pPr>
            <w:r>
              <w:rPr>
                <w:rFonts w:ascii="Times New Roman" w:hAnsi="Times New Roman"/>
                <w:b w:val="0"/>
                <w:i w:val="0"/>
                <w:sz w:val="17"/>
              </w:rPr>
              <w:t>717</w:t>
            </w:r>
          </w:p>
        </w:tc>
        <w:tc>
          <w:tcPr>
            <w:tcW w:type="dxa" w:w="1440"/>
          </w:tcPr>
          <w:p>
            <w:pPr>
              <w:jc w:val="center"/>
            </w:pPr>
            <w:r>
              <w:rPr>
                <w:rFonts w:ascii="Times New Roman" w:hAnsi="Times New Roman"/>
                <w:b w:val="0"/>
                <w:i w:val="0"/>
                <w:sz w:val="17"/>
              </w:rPr>
              <w:t>−1.37</w:t>
            </w:r>
          </w:p>
        </w:tc>
        <w:tc>
          <w:tcPr>
            <w:tcW w:type="dxa" w:w="2448"/>
          </w:tcPr>
          <w:p>
            <w:pPr>
              <w:jc w:val="center"/>
            </w:pPr>
            <w:r>
              <w:rPr>
                <w:rFonts w:ascii="Times New Roman" w:hAnsi="Times New Roman"/>
                <w:b w:val="0"/>
                <w:i w:val="0"/>
                <w:sz w:val="17"/>
              </w:rPr>
              <w:t>Mortality-prominent</w:t>
            </w:r>
          </w:p>
        </w:tc>
      </w:tr>
      <w:tr>
        <w:tc>
          <w:tcPr>
            <w:tcW w:type="dxa" w:w="2304"/>
            <w:shd w:fill="F5F5F5" w:val="clear"/>
          </w:tcPr>
          <w:p>
            <w:pPr>
              <w:jc w:val="left"/>
            </w:pPr>
            <w:r>
              <w:rPr>
                <w:rFonts w:ascii="Times New Roman" w:hAnsi="Times New Roman"/>
                <w:b w:val="0"/>
                <w:i w:val="0"/>
                <w:sz w:val="17"/>
              </w:rPr>
              <w:t>Chhattisgarh</w:t>
            </w:r>
          </w:p>
        </w:tc>
        <w:tc>
          <w:tcPr>
            <w:tcW w:type="dxa" w:w="1296"/>
            <w:shd w:fill="F5F5F5" w:val="clear"/>
          </w:tcPr>
          <w:p>
            <w:pPr>
              <w:jc w:val="center"/>
            </w:pPr>
            <w:r>
              <w:rPr>
                <w:rFonts w:ascii="Times New Roman" w:hAnsi="Times New Roman"/>
                <w:b w:val="0"/>
                <w:i w:val="0"/>
                <w:sz w:val="17"/>
              </w:rPr>
              <w:t>5,045</w:t>
            </w:r>
          </w:p>
        </w:tc>
        <w:tc>
          <w:tcPr>
            <w:tcW w:type="dxa" w:w="1296"/>
            <w:shd w:fill="F5F5F5" w:val="clear"/>
          </w:tcPr>
          <w:p>
            <w:pPr>
              <w:jc w:val="center"/>
            </w:pPr>
            <w:r>
              <w:rPr>
                <w:rFonts w:ascii="Times New Roman" w:hAnsi="Times New Roman"/>
                <w:b w:val="0"/>
                <w:i w:val="0"/>
                <w:sz w:val="17"/>
              </w:rPr>
              <w:t>95.3</w:t>
            </w:r>
          </w:p>
        </w:tc>
        <w:tc>
          <w:tcPr>
            <w:tcW w:type="dxa" w:w="1296"/>
            <w:shd w:fill="F5F5F5" w:val="clear"/>
          </w:tcPr>
          <w:p>
            <w:pPr>
              <w:jc w:val="center"/>
            </w:pPr>
            <w:r>
              <w:rPr>
                <w:rFonts w:ascii="Times New Roman" w:hAnsi="Times New Roman"/>
                <w:b w:val="0"/>
                <w:i w:val="0"/>
                <w:sz w:val="17"/>
              </w:rPr>
              <w:t>619</w:t>
            </w:r>
          </w:p>
        </w:tc>
        <w:tc>
          <w:tcPr>
            <w:tcW w:type="dxa" w:w="1440"/>
            <w:shd w:fill="F5F5F5" w:val="clear"/>
          </w:tcPr>
          <w:p>
            <w:pPr>
              <w:jc w:val="center"/>
            </w:pPr>
            <w:r>
              <w:rPr>
                <w:rFonts w:ascii="Times New Roman" w:hAnsi="Times New Roman"/>
                <w:b w:val="0"/>
                <w:i w:val="0"/>
                <w:sz w:val="17"/>
              </w:rPr>
              <w:t>−2.20</w:t>
            </w:r>
          </w:p>
        </w:tc>
        <w:tc>
          <w:tcPr>
            <w:tcW w:type="dxa" w:w="2448"/>
            <w:shd w:fill="F5F5F5" w:val="clear"/>
          </w:tcPr>
          <w:p>
            <w:pPr>
              <w:jc w:val="center"/>
            </w:pPr>
            <w:r>
              <w:rPr>
                <w:rFonts w:ascii="Times New Roman" w:hAnsi="Times New Roman"/>
                <w:b w:val="0"/>
                <w:i w:val="0"/>
                <w:sz w:val="17"/>
              </w:rPr>
              <w:t>Mortality-prominent</w:t>
            </w:r>
          </w:p>
        </w:tc>
      </w:tr>
      <w:tr>
        <w:tc>
          <w:tcPr>
            <w:tcW w:type="dxa" w:w="2304"/>
          </w:tcPr>
          <w:p>
            <w:pPr>
              <w:jc w:val="left"/>
            </w:pPr>
            <w:r>
              <w:rPr>
                <w:rFonts w:ascii="Times New Roman" w:hAnsi="Times New Roman"/>
                <w:b w:val="0"/>
                <w:i w:val="0"/>
                <w:sz w:val="17"/>
              </w:rPr>
              <w:t>Telangana</w:t>
            </w:r>
          </w:p>
        </w:tc>
        <w:tc>
          <w:tcPr>
            <w:tcW w:type="dxa" w:w="1296"/>
          </w:tcPr>
          <w:p>
            <w:pPr>
              <w:jc w:val="center"/>
            </w:pPr>
            <w:r>
              <w:rPr>
                <w:rFonts w:ascii="Times New Roman" w:hAnsi="Times New Roman"/>
                <w:b w:val="0"/>
                <w:i w:val="0"/>
                <w:sz w:val="17"/>
              </w:rPr>
              <w:t>5,972</w:t>
            </w:r>
          </w:p>
        </w:tc>
        <w:tc>
          <w:tcPr>
            <w:tcW w:type="dxa" w:w="1296"/>
          </w:tcPr>
          <w:p>
            <w:pPr>
              <w:jc w:val="center"/>
            </w:pPr>
            <w:r>
              <w:rPr>
                <w:rFonts w:ascii="Times New Roman" w:hAnsi="Times New Roman"/>
                <w:b w:val="0"/>
                <w:i w:val="0"/>
                <w:sz w:val="17"/>
              </w:rPr>
              <w:t>125.1</w:t>
            </w:r>
          </w:p>
        </w:tc>
        <w:tc>
          <w:tcPr>
            <w:tcW w:type="dxa" w:w="1296"/>
          </w:tcPr>
          <w:p>
            <w:pPr>
              <w:jc w:val="center"/>
            </w:pPr>
            <w:r>
              <w:rPr>
                <w:rFonts w:ascii="Times New Roman" w:hAnsi="Times New Roman"/>
                <w:b w:val="0"/>
                <w:i w:val="0"/>
                <w:sz w:val="17"/>
              </w:rPr>
              <w:t>747</w:t>
            </w:r>
          </w:p>
        </w:tc>
        <w:tc>
          <w:tcPr>
            <w:tcW w:type="dxa" w:w="1440"/>
          </w:tcPr>
          <w:p>
            <w:pPr>
              <w:jc w:val="center"/>
            </w:pPr>
            <w:r>
              <w:rPr>
                <w:rFonts w:ascii="Times New Roman" w:hAnsi="Times New Roman"/>
                <w:b w:val="0"/>
                <w:i w:val="0"/>
                <w:sz w:val="17"/>
              </w:rPr>
              <w:t>−2.66</w:t>
            </w:r>
          </w:p>
        </w:tc>
        <w:tc>
          <w:tcPr>
            <w:tcW w:type="dxa" w:w="2448"/>
          </w:tcPr>
          <w:p>
            <w:pPr>
              <w:jc w:val="center"/>
            </w:pPr>
            <w:r>
              <w:rPr>
                <w:rFonts w:ascii="Times New Roman" w:hAnsi="Times New Roman"/>
                <w:b w:val="0"/>
                <w:i w:val="0"/>
                <w:sz w:val="17"/>
              </w:rPr>
              <w:t>Mortality-prominent</w:t>
            </w:r>
          </w:p>
        </w:tc>
      </w:tr>
    </w:tbl>
    <w:p>
      <w:pPr>
        <w:spacing w:before="0" w:after="280"/>
        <w:jc w:val="left"/>
      </w:pPr>
      <w:r>
        <w:rPr>
          <w:rFonts w:ascii="Times New Roman" w:hAnsi="Times New Roman"/>
          <w:b w:val="0"/>
          <w:i/>
          <w:sz w:val="18"/>
        </w:rPr>
        <w:t>HDBI = Hidden Disability Burden Index = z(YLD rate) − z(death rate); all rates per 100,000 population. Classification thresholds: disability-prominent HDBI &gt; 0.5; mortality-prominent HDBI &lt; −0.5; balanced otherwise. Only selected states shown; 12 states classified as balanced. Source: GBD 2023 subnational India.</w:t>
      </w:r>
    </w:p>
    <w:p/>
    <w:p>
      <w:pPr>
        <w:spacing w:before="240" w:after="80"/>
      </w:pPr>
      <w:r>
        <w:rPr>
          <w:rFonts w:ascii="Times New Roman" w:hAnsi="Times New Roman"/>
          <w:b/>
          <w:i w:val="0"/>
          <w:sz w:val="22"/>
        </w:rPr>
        <w:t>Table 4. Inter-state inequality in injury rates — India 2023.</w:t>
      </w:r>
    </w:p>
    <w:tbl>
      <w:tblPr>
        <w:tblStyle w:val="TableGrid"/>
        <w:tblW w:type="auto" w:w="0"/>
        <w:tblLook w:firstColumn="1" w:firstRow="1" w:lastColumn="0" w:lastRow="0" w:noHBand="0" w:noVBand="1" w:val="04A0"/>
      </w:tblPr>
      <w:tblGrid>
        <w:gridCol w:w="3041"/>
        <w:gridCol w:w="3041"/>
        <w:gridCol w:w="3041"/>
      </w:tblGrid>
      <w:tr>
        <w:tc>
          <w:tcPr>
            <w:tcW w:type="dxa" w:w="4032"/>
            <w:shd w:fill="2C3E50" w:color="FFFFFF" w:val="clear"/>
          </w:tcPr>
          <w:p>
            <w:pPr>
              <w:jc w:val="center"/>
            </w:pPr>
            <w:r>
              <w:rPr>
                <w:rFonts w:ascii="Times New Roman" w:hAnsi="Times New Roman"/>
                <w:b/>
                <w:i w:val="0"/>
                <w:color w:val="FFFFFF"/>
                <w:sz w:val="18"/>
              </w:rPr>
              <w:t>Metric</w:t>
            </w:r>
          </w:p>
        </w:tc>
        <w:tc>
          <w:tcPr>
            <w:tcW w:type="dxa" w:w="1440"/>
            <w:shd w:fill="2C3E50" w:color="FFFFFF" w:val="clear"/>
          </w:tcPr>
          <w:p>
            <w:pPr>
              <w:jc w:val="center"/>
            </w:pPr>
            <w:r>
              <w:rPr>
                <w:rFonts w:ascii="Times New Roman" w:hAnsi="Times New Roman"/>
                <w:b/>
                <w:i w:val="0"/>
                <w:color w:val="FFFFFF"/>
                <w:sz w:val="18"/>
              </w:rPr>
              <w:t>Value</w:t>
            </w:r>
          </w:p>
        </w:tc>
        <w:tc>
          <w:tcPr>
            <w:tcW w:type="dxa" w:w="3888"/>
            <w:shd w:fill="2C3E50" w:color="FFFFFF" w:val="clear"/>
          </w:tcPr>
          <w:p>
            <w:pPr>
              <w:jc w:val="center"/>
            </w:pPr>
            <w:r>
              <w:rPr>
                <w:rFonts w:ascii="Times New Roman" w:hAnsi="Times New Roman"/>
                <w:b/>
                <w:i w:val="0"/>
                <w:color w:val="FFFFFF"/>
                <w:sz w:val="18"/>
              </w:rPr>
              <w:t>Interpretation</w:t>
            </w:r>
          </w:p>
        </w:tc>
      </w:tr>
      <w:tr>
        <w:tc>
          <w:tcPr>
            <w:tcW w:type="dxa" w:w="4032"/>
          </w:tcPr>
          <w:p>
            <w:pPr>
              <w:jc w:val="left"/>
            </w:pPr>
            <w:r>
              <w:rPr>
                <w:rFonts w:ascii="Times New Roman" w:hAnsi="Times New Roman"/>
                <w:b w:val="0"/>
                <w:i w:val="0"/>
                <w:sz w:val="18"/>
              </w:rPr>
              <w:t>Mean accidental death rate (per lakh)</w:t>
            </w:r>
          </w:p>
        </w:tc>
        <w:tc>
          <w:tcPr>
            <w:tcW w:type="dxa" w:w="1440"/>
          </w:tcPr>
          <w:p>
            <w:pPr>
              <w:jc w:val="center"/>
            </w:pPr>
            <w:r>
              <w:rPr>
                <w:rFonts w:ascii="Times New Roman" w:hAnsi="Times New Roman"/>
                <w:b w:val="0"/>
                <w:i w:val="0"/>
                <w:sz w:val="18"/>
              </w:rPr>
              <w:t>31.9</w:t>
            </w:r>
          </w:p>
        </w:tc>
        <w:tc>
          <w:tcPr>
            <w:tcW w:type="dxa" w:w="3888"/>
          </w:tcPr>
          <w:p>
            <w:pPr>
              <w:jc w:val="center"/>
            </w:pPr>
            <w:r>
              <w:rPr>
                <w:rFonts w:ascii="Times New Roman" w:hAnsi="Times New Roman"/>
                <w:b w:val="0"/>
                <w:i w:val="0"/>
                <w:sz w:val="18"/>
              </w:rPr>
              <w:t>National average</w:t>
            </w:r>
          </w:p>
        </w:tc>
      </w:tr>
      <w:tr>
        <w:tc>
          <w:tcPr>
            <w:tcW w:type="dxa" w:w="4032"/>
            <w:shd w:fill="F5F5F5" w:val="clear"/>
          </w:tcPr>
          <w:p>
            <w:pPr>
              <w:jc w:val="left"/>
            </w:pPr>
            <w:r>
              <w:rPr>
                <w:rFonts w:ascii="Times New Roman" w:hAnsi="Times New Roman"/>
                <w:b w:val="0"/>
                <w:i w:val="0"/>
                <w:sz w:val="18"/>
              </w:rPr>
              <w:t>Median accidental death rate (per lakh)</w:t>
            </w:r>
          </w:p>
        </w:tc>
        <w:tc>
          <w:tcPr>
            <w:tcW w:type="dxa" w:w="1440"/>
            <w:shd w:fill="F5F5F5" w:val="clear"/>
          </w:tcPr>
          <w:p>
            <w:pPr>
              <w:jc w:val="center"/>
            </w:pPr>
            <w:r>
              <w:rPr>
                <w:rFonts w:ascii="Times New Roman" w:hAnsi="Times New Roman"/>
                <w:b w:val="0"/>
                <w:i w:val="0"/>
                <w:sz w:val="18"/>
              </w:rPr>
              <w:t>32.1</w:t>
            </w:r>
          </w:p>
        </w:tc>
        <w:tc>
          <w:tcPr>
            <w:tcW w:type="dxa" w:w="3888"/>
            <w:shd w:fill="F5F5F5" w:val="clear"/>
          </w:tcPr>
          <w:p>
            <w:pPr>
              <w:jc w:val="center"/>
            </w:pPr>
            <w:r>
              <w:rPr>
                <w:rFonts w:ascii="Times New Roman" w:hAnsi="Times New Roman"/>
                <w:b w:val="0"/>
                <w:i w:val="0"/>
                <w:sz w:val="18"/>
              </w:rPr>
              <w:t>Median state</w:t>
            </w:r>
          </w:p>
        </w:tc>
      </w:tr>
      <w:tr>
        <w:tc>
          <w:tcPr>
            <w:tcW w:type="dxa" w:w="4032"/>
          </w:tcPr>
          <w:p>
            <w:pPr>
              <w:jc w:val="left"/>
            </w:pPr>
            <w:r>
              <w:rPr>
                <w:rFonts w:ascii="Times New Roman" w:hAnsi="Times New Roman"/>
                <w:b w:val="0"/>
                <w:i w:val="0"/>
                <w:sz w:val="18"/>
              </w:rPr>
              <w:t>Highest-burden state (Ladakh)</w:t>
            </w:r>
          </w:p>
        </w:tc>
        <w:tc>
          <w:tcPr>
            <w:tcW w:type="dxa" w:w="1440"/>
          </w:tcPr>
          <w:p>
            <w:pPr>
              <w:jc w:val="center"/>
            </w:pPr>
            <w:r>
              <w:rPr>
                <w:rFonts w:ascii="Times New Roman" w:hAnsi="Times New Roman"/>
                <w:b w:val="0"/>
                <w:i w:val="0"/>
                <w:sz w:val="18"/>
              </w:rPr>
              <w:t>75.4</w:t>
            </w:r>
          </w:p>
        </w:tc>
        <w:tc>
          <w:tcPr>
            <w:tcW w:type="dxa" w:w="3888"/>
          </w:tcPr>
          <w:p>
            <w:pPr>
              <w:jc w:val="center"/>
            </w:pPr>
            <w:r>
              <w:rPr>
                <w:rFonts w:ascii="Times New Roman" w:hAnsi="Times New Roman"/>
                <w:b w:val="0"/>
                <w:i w:val="0"/>
                <w:sz w:val="18"/>
              </w:rPr>
              <w:t>Maximum state rate</w:t>
            </w:r>
          </w:p>
        </w:tc>
      </w:tr>
      <w:tr>
        <w:tc>
          <w:tcPr>
            <w:tcW w:type="dxa" w:w="4032"/>
            <w:shd w:fill="F5F5F5" w:val="clear"/>
          </w:tcPr>
          <w:p>
            <w:pPr>
              <w:jc w:val="left"/>
            </w:pPr>
            <w:r>
              <w:rPr>
                <w:rFonts w:ascii="Times New Roman" w:hAnsi="Times New Roman"/>
                <w:b w:val="0"/>
                <w:i w:val="0"/>
                <w:sz w:val="18"/>
              </w:rPr>
              <w:t>Lowest-burden state (Nagaland)</w:t>
            </w:r>
          </w:p>
        </w:tc>
        <w:tc>
          <w:tcPr>
            <w:tcW w:type="dxa" w:w="1440"/>
            <w:shd w:fill="F5F5F5" w:val="clear"/>
          </w:tcPr>
          <w:p>
            <w:pPr>
              <w:jc w:val="center"/>
            </w:pPr>
            <w:r>
              <w:rPr>
                <w:rFonts w:ascii="Times New Roman" w:hAnsi="Times New Roman"/>
                <w:b w:val="0"/>
                <w:i w:val="0"/>
                <w:sz w:val="18"/>
              </w:rPr>
              <w:t>3.2</w:t>
            </w:r>
          </w:p>
        </w:tc>
        <w:tc>
          <w:tcPr>
            <w:tcW w:type="dxa" w:w="3888"/>
            <w:shd w:fill="F5F5F5" w:val="clear"/>
          </w:tcPr>
          <w:p>
            <w:pPr>
              <w:jc w:val="center"/>
            </w:pPr>
            <w:r>
              <w:rPr>
                <w:rFonts w:ascii="Times New Roman" w:hAnsi="Times New Roman"/>
                <w:b w:val="0"/>
                <w:i w:val="0"/>
                <w:sz w:val="18"/>
              </w:rPr>
              <w:t>Minimum state rate</w:t>
            </w:r>
          </w:p>
        </w:tc>
      </w:tr>
      <w:tr>
        <w:tc>
          <w:tcPr>
            <w:tcW w:type="dxa" w:w="4032"/>
          </w:tcPr>
          <w:p>
            <w:pPr>
              <w:jc w:val="left"/>
            </w:pPr>
            <w:r>
              <w:rPr>
                <w:rFonts w:ascii="Times New Roman" w:hAnsi="Times New Roman"/>
                <w:b w:val="0"/>
                <w:i w:val="0"/>
                <w:sz w:val="18"/>
              </w:rPr>
              <w:t>Top-to-bottom ratio</w:t>
            </w:r>
          </w:p>
        </w:tc>
        <w:tc>
          <w:tcPr>
            <w:tcW w:type="dxa" w:w="1440"/>
          </w:tcPr>
          <w:p>
            <w:pPr>
              <w:jc w:val="center"/>
            </w:pPr>
            <w:r>
              <w:rPr>
                <w:rFonts w:ascii="Times New Roman" w:hAnsi="Times New Roman"/>
                <w:b w:val="0"/>
                <w:i w:val="0"/>
                <w:sz w:val="18"/>
              </w:rPr>
              <w:t>23.6×</w:t>
            </w:r>
          </w:p>
        </w:tc>
        <w:tc>
          <w:tcPr>
            <w:tcW w:type="dxa" w:w="3888"/>
          </w:tcPr>
          <w:p>
            <w:pPr>
              <w:jc w:val="center"/>
            </w:pPr>
            <w:r>
              <w:rPr>
                <w:rFonts w:ascii="Times New Roman" w:hAnsi="Times New Roman"/>
                <w:b w:val="0"/>
                <w:i w:val="0"/>
                <w:sz w:val="18"/>
              </w:rPr>
              <w:t>Dispersion range</w:t>
            </w:r>
          </w:p>
        </w:tc>
      </w:tr>
      <w:tr>
        <w:tc>
          <w:tcPr>
            <w:tcW w:type="dxa" w:w="4032"/>
            <w:shd w:fill="F5F5F5" w:val="clear"/>
          </w:tcPr>
          <w:p>
            <w:pPr>
              <w:jc w:val="left"/>
            </w:pPr>
            <w:r>
              <w:rPr>
                <w:rFonts w:ascii="Times New Roman" w:hAnsi="Times New Roman"/>
                <w:b w:val="0"/>
                <w:i w:val="0"/>
                <w:sz w:val="18"/>
              </w:rPr>
              <w:t>Interquartile range (IQR)</w:t>
            </w:r>
          </w:p>
        </w:tc>
        <w:tc>
          <w:tcPr>
            <w:tcW w:type="dxa" w:w="1440"/>
            <w:shd w:fill="F5F5F5" w:val="clear"/>
          </w:tcPr>
          <w:p>
            <w:pPr>
              <w:jc w:val="center"/>
            </w:pPr>
            <w:r>
              <w:rPr>
                <w:rFonts w:ascii="Times New Roman" w:hAnsi="Times New Roman"/>
                <w:b w:val="0"/>
                <w:i w:val="0"/>
                <w:sz w:val="18"/>
              </w:rPr>
              <w:t>29.6</w:t>
            </w:r>
          </w:p>
        </w:tc>
        <w:tc>
          <w:tcPr>
            <w:tcW w:type="dxa" w:w="3888"/>
            <w:shd w:fill="F5F5F5" w:val="clear"/>
          </w:tcPr>
          <w:p>
            <w:pPr>
              <w:jc w:val="center"/>
            </w:pPr>
            <w:r>
              <w:rPr>
                <w:rFonts w:ascii="Times New Roman" w:hAnsi="Times New Roman"/>
                <w:b w:val="0"/>
                <w:i w:val="0"/>
                <w:sz w:val="18"/>
              </w:rPr>
              <w:t>Middle 50% spread</w:t>
            </w:r>
          </w:p>
        </w:tc>
      </w:tr>
      <w:tr>
        <w:tc>
          <w:tcPr>
            <w:tcW w:type="dxa" w:w="4032"/>
          </w:tcPr>
          <w:p>
            <w:pPr>
              <w:jc w:val="left"/>
            </w:pPr>
            <w:r>
              <w:rPr>
                <w:rFonts w:ascii="Times New Roman" w:hAnsi="Times New Roman"/>
                <w:b w:val="0"/>
                <w:i w:val="0"/>
                <w:sz w:val="18"/>
              </w:rPr>
              <w:t>Coefficient of variation (CV)</w:t>
            </w:r>
          </w:p>
        </w:tc>
        <w:tc>
          <w:tcPr>
            <w:tcW w:type="dxa" w:w="1440"/>
          </w:tcPr>
          <w:p>
            <w:pPr>
              <w:jc w:val="center"/>
            </w:pPr>
            <w:r>
              <w:rPr>
                <w:rFonts w:ascii="Times New Roman" w:hAnsi="Times New Roman"/>
                <w:b w:val="0"/>
                <w:i w:val="0"/>
                <w:sz w:val="18"/>
              </w:rPr>
              <w:t>0.569</w:t>
            </w:r>
          </w:p>
        </w:tc>
        <w:tc>
          <w:tcPr>
            <w:tcW w:type="dxa" w:w="3888"/>
          </w:tcPr>
          <w:p>
            <w:pPr>
              <w:jc w:val="center"/>
            </w:pPr>
            <w:r>
              <w:rPr>
                <w:rFonts w:ascii="Times New Roman" w:hAnsi="Times New Roman"/>
                <w:b w:val="0"/>
                <w:i w:val="0"/>
                <w:sz w:val="18"/>
              </w:rPr>
              <w:t>Relative dispersion</w:t>
            </w:r>
          </w:p>
        </w:tc>
      </w:tr>
      <w:tr>
        <w:tc>
          <w:tcPr>
            <w:tcW w:type="dxa" w:w="4032"/>
            <w:shd w:fill="F5F5F5" w:val="clear"/>
          </w:tcPr>
          <w:p>
            <w:pPr>
              <w:jc w:val="left"/>
            </w:pPr>
            <w:r>
              <w:rPr>
                <w:rFonts w:ascii="Times New Roman" w:hAnsi="Times New Roman"/>
                <w:b w:val="0"/>
                <w:i w:val="0"/>
                <w:sz w:val="18"/>
              </w:rPr>
              <w:t>Gini coefficient</w:t>
            </w:r>
          </w:p>
        </w:tc>
        <w:tc>
          <w:tcPr>
            <w:tcW w:type="dxa" w:w="1440"/>
            <w:shd w:fill="F5F5F5" w:val="clear"/>
          </w:tcPr>
          <w:p>
            <w:pPr>
              <w:jc w:val="center"/>
            </w:pPr>
            <w:r>
              <w:rPr>
                <w:rFonts w:ascii="Times New Roman" w:hAnsi="Times New Roman"/>
                <w:b w:val="0"/>
                <w:i w:val="0"/>
                <w:sz w:val="18"/>
              </w:rPr>
              <w:t>0.318</w:t>
            </w:r>
          </w:p>
        </w:tc>
        <w:tc>
          <w:tcPr>
            <w:tcW w:type="dxa" w:w="3888"/>
            <w:shd w:fill="F5F5F5" w:val="clear"/>
          </w:tcPr>
          <w:p>
            <w:pPr>
              <w:jc w:val="center"/>
            </w:pPr>
            <w:r>
              <w:rPr>
                <w:rFonts w:ascii="Times New Roman" w:hAnsi="Times New Roman"/>
                <w:b w:val="0"/>
                <w:i w:val="0"/>
                <w:sz w:val="18"/>
              </w:rPr>
              <w:t>0 = equality; 1 = maximal inequality</w:t>
            </w:r>
          </w:p>
        </w:tc>
      </w:tr>
      <w:tr>
        <w:tc>
          <w:tcPr>
            <w:tcW w:type="dxa" w:w="4032"/>
          </w:tcPr>
          <w:p>
            <w:pPr>
              <w:jc w:val="left"/>
            </w:pPr>
            <w:r>
              <w:rPr>
                <w:rFonts w:ascii="Times New Roman" w:hAnsi="Times New Roman"/>
                <w:b w:val="0"/>
                <w:i w:val="0"/>
                <w:sz w:val="18"/>
              </w:rPr>
              <w:t>Number of states/UTs included</w:t>
            </w:r>
          </w:p>
        </w:tc>
        <w:tc>
          <w:tcPr>
            <w:tcW w:type="dxa" w:w="1440"/>
          </w:tcPr>
          <w:p>
            <w:pPr>
              <w:jc w:val="center"/>
            </w:pPr>
            <w:r>
              <w:rPr>
                <w:rFonts w:ascii="Times New Roman" w:hAnsi="Times New Roman"/>
                <w:b w:val="0"/>
                <w:i w:val="0"/>
                <w:sz w:val="18"/>
              </w:rPr>
              <w:t>36</w:t>
            </w:r>
          </w:p>
        </w:tc>
        <w:tc>
          <w:tcPr>
            <w:tcW w:type="dxa" w:w="3888"/>
          </w:tcPr>
          <w:p>
            <w:pPr>
              <w:jc w:val="center"/>
            </w:pPr>
            <w:r>
              <w:rPr>
                <w:rFonts w:ascii="Times New Roman" w:hAnsi="Times New Roman"/>
                <w:b w:val="0"/>
                <w:i w:val="0"/>
                <w:sz w:val="18"/>
              </w:rPr>
              <w:t>All states and UTs</w:t>
            </w:r>
          </w:p>
        </w:tc>
      </w:tr>
    </w:tbl>
    <w:p>
      <w:pPr>
        <w:spacing w:before="0" w:after="280"/>
        <w:jc w:val="left"/>
      </w:pPr>
      <w:r>
        <w:rPr>
          <w:rFonts w:ascii="Times New Roman" w:hAnsi="Times New Roman"/>
          <w:b w:val="0"/>
          <w:i/>
          <w:sz w:val="18"/>
        </w:rPr>
        <w:t>Source: NCRB Accidental Deaths and Suicides in India 2023 (Table 11), state-wise accidental death rate per lakh population. Gini coefficient computed using standard trapezoidal approximation. CV = SD/mean.</w:t>
      </w:r>
    </w:p>
    <w:p>
      <w:r>
        <w:br w:type="page"/>
      </w:r>
    </w:p>
    <w:p>
      <w:pPr>
        <w:spacing w:before="200" w:after="80"/>
      </w:pPr>
      <w:r>
        <w:rPr>
          <w:rFonts w:ascii="Times New Roman" w:hAnsi="Times New Roman"/>
          <w:b/>
          <w:i w:val="0"/>
          <w:sz w:val="24"/>
        </w:rPr>
        <w:t>FIGURE LEGENDS</w:t>
      </w:r>
    </w:p>
    <w:p>
      <w:pPr>
        <w:spacing w:before="160" w:after="160"/>
        <w:jc w:val="both"/>
      </w:pPr>
      <w:r>
        <w:rPr>
          <w:rFonts w:ascii="Times New Roman" w:hAnsi="Times New Roman"/>
          <w:b/>
          <w:i w:val="0"/>
          <w:sz w:val="22"/>
        </w:rPr>
        <w:t xml:space="preserve">Figure 1. </w:t>
      </w:r>
      <w:r>
        <w:rPr>
          <w:rFonts w:ascii="Times New Roman" w:hAnsi="Times New Roman"/>
          <w:b w:val="0"/>
          <w:i w:val="0"/>
          <w:sz w:val="22"/>
        </w:rPr>
        <w:t>State-level injury burden in India — DALY rate per 100,000 population. Choropleth map showing age-standardised injury DALY rates for all 35 mapped Indian states and union territories (GBD 2023, year 2021). Darker shading indicates higher DALY burden. Boundary data predate the 2014 Telangana and 2019 Ladakh bifurcations: Telangana burden is displayed on the combined Andhra Pradesh polygon; Jammu &amp; Kashmir and Ladakh are shown as a unified GBD unit. GBD = Global Burden of Disease; DALY = disability-adjusted life year.</w:t>
      </w:r>
    </w:p>
    <w:p>
      <w:pPr>
        <w:spacing w:before="160" w:after="160"/>
        <w:jc w:val="both"/>
      </w:pPr>
      <w:r>
        <w:rPr>
          <w:rFonts w:ascii="Times New Roman" w:hAnsi="Times New Roman"/>
          <w:b/>
          <w:i w:val="0"/>
          <w:sz w:val="22"/>
        </w:rPr>
        <w:t xml:space="preserve">Figure 2. </w:t>
      </w:r>
      <w:r>
        <w:rPr>
          <w:rFonts w:ascii="Times New Roman" w:hAnsi="Times New Roman"/>
          <w:b w:val="0"/>
          <w:i w:val="0"/>
          <w:sz w:val="22"/>
        </w:rPr>
        <w:t>Hidden Disability Burden Index (HDBI) — state classification. Horizontal bar chart showing HDBI z-scores for all 31 Indian states with GBD subnational estimates. Positive values (right; blue) indicate disability-prominent states; negative values (left; red) indicate mortality-prominent states. States are ordered by HDBI z-score.</w:t>
      </w:r>
    </w:p>
    <w:p>
      <w:pPr>
        <w:spacing w:before="160" w:after="160"/>
        <w:jc w:val="both"/>
      </w:pPr>
      <w:r>
        <w:rPr>
          <w:rFonts w:ascii="Times New Roman" w:hAnsi="Times New Roman"/>
          <w:b/>
          <w:i w:val="0"/>
          <w:sz w:val="22"/>
        </w:rPr>
        <w:t xml:space="preserve">Figure 3. </w:t>
      </w:r>
      <w:r>
        <w:rPr>
          <w:rFonts w:ascii="Times New Roman" w:hAnsi="Times New Roman"/>
          <w:b w:val="0"/>
          <w:i w:val="0"/>
          <w:sz w:val="22"/>
        </w:rPr>
        <w:t>Heatmap of cause-specific DALY rates by state. State × injury-cause matrix showing age-standardised DALY rates per 100,000 for eight major cause groups. Cell colour intensity reflects DALY rate within each cause column; cells are labelled with rate values.</w:t>
      </w:r>
    </w:p>
    <w:p>
      <w:pPr>
        <w:spacing w:before="160" w:after="160"/>
        <w:jc w:val="both"/>
      </w:pPr>
      <w:r>
        <w:rPr>
          <w:rFonts w:ascii="Times New Roman" w:hAnsi="Times New Roman"/>
          <w:b/>
          <w:i w:val="0"/>
          <w:sz w:val="22"/>
        </w:rPr>
        <w:t xml:space="preserve">Figure 4. </w:t>
      </w:r>
      <w:r>
        <w:rPr>
          <w:rFonts w:ascii="Times New Roman" w:hAnsi="Times New Roman"/>
          <w:b w:val="0"/>
          <w:i w:val="0"/>
          <w:sz w:val="22"/>
        </w:rPr>
        <w:t>Trends in injury burden 2020–2023 — selected states and causes. Line plots showing GBD-estimated DALY rates by year for the five highest-burden and five lowest-burden states (all injuries combined) and for three major causes (road, self-harm, falls) at the national level.</w:t>
      </w:r>
    </w:p>
    <w:p>
      <w:pPr>
        <w:spacing w:before="160" w:after="160"/>
        <w:jc w:val="both"/>
      </w:pPr>
      <w:r>
        <w:rPr>
          <w:rFonts w:ascii="Times New Roman" w:hAnsi="Times New Roman"/>
          <w:b/>
          <w:i w:val="0"/>
          <w:sz w:val="22"/>
        </w:rPr>
        <w:t xml:space="preserve">Figure 5. </w:t>
      </w:r>
      <w:r>
        <w:rPr>
          <w:rFonts w:ascii="Times New Roman" w:hAnsi="Times New Roman"/>
          <w:b w:val="0"/>
          <w:i w:val="0"/>
          <w:sz w:val="22"/>
        </w:rPr>
        <w:t>Burden–burden quadrant analysis. Scatter plot of death rate vs. YLD rate by state (both per 100,000), with quadrant boundaries at the national median for each axis. Quadrants denote: high death/high disability (Q1); low death/high disability (Q2, disability-prominent); low death/low disability (Q3); high death/low disability (Q4, mortality-prominent). State abbreviations labelled.</w:t>
      </w:r>
    </w:p>
    <w:p>
      <w:pPr>
        <w:spacing w:before="160" w:after="160"/>
        <w:jc w:val="both"/>
      </w:pPr>
      <w:r>
        <w:rPr>
          <w:rFonts w:ascii="Times New Roman" w:hAnsi="Times New Roman"/>
          <w:b/>
          <w:i w:val="0"/>
          <w:sz w:val="22"/>
        </w:rPr>
        <w:t xml:space="preserve">Figure 6. </w:t>
      </w:r>
      <w:r>
        <w:rPr>
          <w:rFonts w:ascii="Times New Roman" w:hAnsi="Times New Roman"/>
          <w:b w:val="0"/>
          <w:i w:val="0"/>
          <w:sz w:val="22"/>
        </w:rPr>
        <w:t>GBD vs. administrative data mismatch — road deaths. Dot plot showing, for each state with available data, the GBD-estimated road injury death count (2023) vs. MoRTH-reported road deaths (2023). States are ordered by MoRTH rank. Dashed line indicates perfect agreement. GBD = Global Burden of Disease; MoRTH = Ministry of Road Transport and Highways.</w:t>
      </w:r>
    </w:p>
    <w:p>
      <w:pPr>
        <w:spacing w:before="160" w:after="160"/>
        <w:jc w:val="both"/>
      </w:pPr>
      <w:r>
        <w:rPr>
          <w:rFonts w:ascii="Times New Roman" w:hAnsi="Times New Roman"/>
          <w:b/>
          <w:i w:val="0"/>
          <w:sz w:val="22"/>
        </w:rPr>
        <w:t xml:space="preserve">Figure 7. </w:t>
      </w:r>
      <w:r>
        <w:rPr>
          <w:rFonts w:ascii="Times New Roman" w:hAnsi="Times New Roman"/>
          <w:b w:val="0"/>
          <w:i w:val="0"/>
          <w:sz w:val="22"/>
        </w:rPr>
        <w:t>Age–sex pattern of injury burden — national estimates. Stacked bar chart showing GBD 2023 injury DALY rates by age group and sex for India. Road, self-harm, falls, drowning, and other injuries are shown as stacked components. Peak burden in the 20–49 year age band is highlighted.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