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  <w:jc w:val="left"/>
      </w:pPr>
      <w:r>
        <w:rPr>
          <w:rFonts w:ascii="Times New Roman" w:hAnsi="Times New Roman"/>
          <w:b/>
          <w:i w:val="0"/>
          <w:sz w:val="28"/>
        </w:rPr>
        <w:t>Author Declarations — Burden of Injuries in India</w:t>
      </w:r>
    </w:p>
    <w:p/>
    <w:p>
      <w:pPr>
        <w:spacing w:before="200" w:after="80"/>
      </w:pPr>
      <w:r>
        <w:rPr>
          <w:rFonts w:ascii="Times New Roman" w:hAnsi="Times New Roman"/>
          <w:b/>
          <w:i w:val="0"/>
          <w:sz w:val="24"/>
        </w:rPr>
        <w:t xml:space="preserve">Manuscript title: </w:t>
      </w:r>
      <w:r>
        <w:rPr>
          <w:rFonts w:ascii="Times New Roman" w:hAnsi="Times New Roman"/>
          <w:b w:val="0"/>
          <w:i w:val="0"/>
          <w:sz w:val="24"/>
        </w:rPr>
        <w:t>Burden of Injuries in India: A State-Level Analysis of Disability-Adjusted Life Years, Mortality Patterns, and Administrative Data Alignment Using GBD 2023 and National Surveillance Sources</w:t>
      </w:r>
    </w:p>
    <w:p>
      <w:pPr>
        <w:spacing w:before="200" w:after="80"/>
      </w:pPr>
      <w:r>
        <w:rPr>
          <w:rFonts w:ascii="Times New Roman" w:hAnsi="Times New Roman"/>
          <w:b/>
          <w:i w:val="0"/>
          <w:sz w:val="24"/>
        </w:rPr>
        <w:t xml:space="preserve">Corresponding author: </w:t>
      </w:r>
      <w:r>
        <w:rPr>
          <w:rFonts w:ascii="Times New Roman" w:hAnsi="Times New Roman"/>
          <w:b w:val="0"/>
          <w:i w:val="0"/>
          <w:sz w:val="24"/>
        </w:rPr>
        <w:t>[Name], [Institution], [City – PIN], India. Email: [email@institution.ac.in]</w:t>
      </w:r>
    </w:p>
    <w:p>
      <w:pPr>
        <w:spacing w:before="200" w:after="80"/>
      </w:pPr>
      <w:r>
        <w:rPr>
          <w:rFonts w:ascii="Times New Roman" w:hAnsi="Times New Roman"/>
          <w:b/>
          <w:i w:val="0"/>
          <w:sz w:val="24"/>
        </w:rPr>
        <w:t xml:space="preserve">Author contributions: </w:t>
      </w:r>
      <w:r>
        <w:rPr>
          <w:rFonts w:ascii="Times New Roman" w:hAnsi="Times New Roman"/>
          <w:b w:val="0"/>
          <w:i w:val="0"/>
          <w:sz w:val="24"/>
        </w:rPr>
        <w:t>[Author 1]: Study conception, data analysis pipeline design, GBD and NCRB data extraction, statistical analysis, manuscript drafting and revision. [Author 2]: MoRTH data extraction, state-name harmonisation, literature review, manuscript review. [Author 3]: Statistical consultation, inequality analysis, critical revision of manuscript. All authors approved the final version.</w:t>
      </w:r>
    </w:p>
    <w:p>
      <w:pPr>
        <w:spacing w:before="200" w:after="80"/>
      </w:pPr>
      <w:r>
        <w:rPr>
          <w:rFonts w:ascii="Times New Roman" w:hAnsi="Times New Roman"/>
          <w:b/>
          <w:i w:val="0"/>
          <w:sz w:val="24"/>
        </w:rPr>
        <w:t xml:space="preserve">Conflicts of interest: </w:t>
      </w:r>
      <w:r>
        <w:rPr>
          <w:rFonts w:ascii="Times New Roman" w:hAnsi="Times New Roman"/>
          <w:b w:val="0"/>
          <w:i w:val="0"/>
          <w:sz w:val="24"/>
        </w:rPr>
        <w:t>None of the authors has any conflict of interest to declare.</w:t>
      </w:r>
    </w:p>
    <w:p>
      <w:pPr>
        <w:spacing w:before="200" w:after="80"/>
      </w:pPr>
      <w:r>
        <w:rPr>
          <w:rFonts w:ascii="Times New Roman" w:hAnsi="Times New Roman"/>
          <w:b/>
          <w:i w:val="0"/>
          <w:sz w:val="24"/>
        </w:rPr>
        <w:t xml:space="preserve">Funding: </w:t>
      </w:r>
      <w:r>
        <w:rPr>
          <w:rFonts w:ascii="Times New Roman" w:hAnsi="Times New Roman"/>
          <w:b w:val="0"/>
          <w:i w:val="0"/>
          <w:sz w:val="24"/>
        </w:rPr>
        <w:t>This research received no specific grant from any funding agency in the public, commercial, or not-for-profit sector.</w:t>
      </w:r>
    </w:p>
    <w:p>
      <w:pPr>
        <w:spacing w:before="200" w:after="80"/>
      </w:pPr>
      <w:r>
        <w:rPr>
          <w:rFonts w:ascii="Times New Roman" w:hAnsi="Times New Roman"/>
          <w:b/>
          <w:i w:val="0"/>
          <w:sz w:val="24"/>
        </w:rPr>
        <w:t xml:space="preserve">Ethical approval: </w:t>
      </w:r>
      <w:r>
        <w:rPr>
          <w:rFonts w:ascii="Times New Roman" w:hAnsi="Times New Roman"/>
          <w:b w:val="0"/>
          <w:i w:val="0"/>
          <w:sz w:val="24"/>
        </w:rPr>
        <w:t>This study analysed only publicly available, aggregate summary-level data from the GBD Results Tool, MoRTH Annual Reports, and NCRB ADSI reports. No individual-level data were accessed. Institutional ethical review was not required.</w:t>
      </w:r>
    </w:p>
    <w:p>
      <w:pPr>
        <w:spacing w:before="200" w:after="80"/>
      </w:pPr>
      <w:r>
        <w:rPr>
          <w:rFonts w:ascii="Times New Roman" w:hAnsi="Times New Roman"/>
          <w:b/>
          <w:i w:val="0"/>
          <w:sz w:val="24"/>
        </w:rPr>
        <w:t xml:space="preserve">Data availability: </w:t>
      </w:r>
      <w:r>
        <w:rPr>
          <w:rFonts w:ascii="Times New Roman" w:hAnsi="Times New Roman"/>
          <w:b w:val="0"/>
          <w:i w:val="0"/>
          <w:sz w:val="24"/>
        </w:rPr>
        <w:t>All analysis code, processed datasets, and harmonised data files are available at https://github.com/[repository] under a Creative Commons CC-BY 4.0 licence. Raw GBD data must be downloaded directly from the IHME GBD Results Tool (https://vizhub.healthdata.org/gbd-results) under IHME's Free-Use Agreement.</w:t>
      </w:r>
    </w:p>
    <w:p>
      <w:pPr>
        <w:spacing w:before="200" w:after="80"/>
      </w:pPr>
      <w:r>
        <w:rPr>
          <w:rFonts w:ascii="Times New Roman" w:hAnsi="Times New Roman"/>
          <w:b/>
          <w:i w:val="0"/>
          <w:sz w:val="24"/>
        </w:rPr>
        <w:t xml:space="preserve">Reproducibility: </w:t>
      </w:r>
      <w:r>
        <w:rPr>
          <w:rFonts w:ascii="Times New Roman" w:hAnsi="Times New Roman"/>
          <w:b w:val="0"/>
          <w:i w:val="0"/>
          <w:sz w:val="24"/>
        </w:rPr>
        <w:t>The complete analysis pipeline (data ingestion, harmonisation, analysis, figure generation, and manuscript assembly) is implemented in Python 3.12 and fully documented in the repository README. All random seeds are fixed. A Docker image for full computational reproducibility is available.</w:t>
      </w:r>
    </w:p>
    <w:p>
      <w:pPr>
        <w:spacing w:before="200" w:after="80"/>
      </w:pPr>
      <w:r>
        <w:rPr>
          <w:rFonts w:ascii="Times New Roman" w:hAnsi="Times New Roman"/>
          <w:b/>
          <w:i w:val="0"/>
          <w:sz w:val="24"/>
        </w:rPr>
        <w:t xml:space="preserve">Prior publication: </w:t>
      </w:r>
      <w:r>
        <w:rPr>
          <w:rFonts w:ascii="Times New Roman" w:hAnsi="Times New Roman"/>
          <w:b w:val="0"/>
          <w:i w:val="0"/>
          <w:sz w:val="24"/>
        </w:rPr>
        <w:t>No part of this work has been published, posted as a preprint, or submitted to another journal.</w:t>
      </w:r>
    </w:p>
    <w:p>
      <w:pPr>
        <w:spacing w:before="200" w:after="80"/>
      </w:pPr>
      <w:r>
        <w:rPr>
          <w:rFonts w:ascii="Times New Roman" w:hAnsi="Times New Roman"/>
          <w:b/>
          <w:i w:val="0"/>
          <w:sz w:val="24"/>
        </w:rPr>
        <w:t xml:space="preserve">Acknowledgements: </w:t>
      </w:r>
      <w:r>
        <w:rPr>
          <w:rFonts w:ascii="Times New Roman" w:hAnsi="Times New Roman"/>
          <w:b w:val="0"/>
          <w:i w:val="0"/>
          <w:sz w:val="24"/>
        </w:rPr>
        <w:t>We thank the GBD 2023 subnational India collaborators at IHME for making state-level injury estimates publicly available. We acknowledge MoRTH and NCRB for publishing cause-specific injury data. We thank [Reviewer/colleague names if applicable] for comments on an earlier draft.</w:t>
      </w:r>
    </w:p>
    <w:p>
      <w:pPr>
        <w:spacing w:before="200" w:after="80"/>
      </w:pPr>
      <w:r>
        <w:rPr>
          <w:rFonts w:ascii="Times New Roman" w:hAnsi="Times New Roman"/>
          <w:b/>
          <w:i w:val="0"/>
          <w:sz w:val="24"/>
        </w:rPr>
        <w:t xml:space="preserve">NMJI word count: </w:t>
      </w:r>
      <w:r>
        <w:rPr>
          <w:rFonts w:ascii="Times New Roman" w:hAnsi="Times New Roman"/>
          <w:b w:val="0"/>
          <w:i w:val="0"/>
          <w:sz w:val="24"/>
        </w:rPr>
        <w:t>Main text (Introduction to Conclusions): approximately 3,500 words. Abstract: approximately 350 words. Tables: 4 main + 2 supplementary. Figures: 7 main. References: 30.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