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left"/>
      </w:pPr>
      <w:r>
        <w:rPr>
          <w:rFonts w:ascii="Times New Roman" w:hAnsi="Times New Roman"/>
          <w:b/>
          <w:i w:val="0"/>
          <w:sz w:val="28"/>
        </w:rPr>
        <w:t>Supplementary Material — Burden of Injuries in India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>S1. DATA SOURCES AND ACCESS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2"/>
        </w:rPr>
        <w:t>Table S1. Data sources used in this analysis.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016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2160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6"/>
              </w:rPr>
              <w:t>Provider</w:t>
            </w:r>
          </w:p>
        </w:tc>
        <w:tc>
          <w:tcPr>
            <w:tcW w:type="dxa" w:w="3600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6"/>
              </w:rPr>
              <w:t>Data extracted</w:t>
            </w:r>
          </w:p>
        </w:tc>
        <w:tc>
          <w:tcPr>
            <w:tcW w:type="dxa" w:w="2160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6"/>
              </w:rPr>
              <w:t>URL</w:t>
            </w:r>
          </w:p>
        </w:tc>
        <w:tc>
          <w:tcPr>
            <w:tcW w:type="dxa" w:w="1008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6"/>
              </w:rPr>
              <w:t>Access date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GBD 2023 subnational India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IHME GBD Results Tool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Deaths, DALYs, YLLs, YLDs, Incidence, Prevalence — all injury causes, all states, 2020–2023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https://vizhub.healthdata.org/gbd-results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April 2026</w:t>
            </w:r>
          </w:p>
        </w:tc>
      </w:tr>
      <w:tr>
        <w:tc>
          <w:tcPr>
            <w:tcW w:type="dxa" w:w="2016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MoRTH Road Accidents in India 2023</w:t>
            </w:r>
          </w:p>
        </w:tc>
        <w:tc>
          <w:tcPr>
            <w:tcW w:type="dxa" w:w="2160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Ministry of Road Transport and Highways</w:t>
            </w:r>
          </w:p>
        </w:tc>
        <w:tc>
          <w:tcPr>
            <w:tcW w:type="dxa" w:w="3600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State-wise road accidents and deaths 2020–2023 (Table 42)</w:t>
            </w:r>
          </w:p>
        </w:tc>
        <w:tc>
          <w:tcPr>
            <w:tcW w:type="dxa" w:w="2160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https://morth.nic.in</w:t>
            </w:r>
          </w:p>
        </w:tc>
        <w:tc>
          <w:tcPr>
            <w:tcW w:type="dxa" w:w="1008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April 2026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NCRB ADSI 2023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National Crime Records Bureau, Ministry of Home Affairs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Cause-specific accidental deaths (Tables 21,31,39,48,60,73); suicides (Table 34)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https://ncrb.gov.in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April 2026</w:t>
            </w:r>
          </w:p>
        </w:tc>
      </w:tr>
      <w:tr>
        <w:tc>
          <w:tcPr>
            <w:tcW w:type="dxa" w:w="2016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India state boundaries</w:t>
            </w:r>
          </w:p>
        </w:tc>
        <w:tc>
          <w:tcPr>
            <w:tcW w:type="dxa" w:w="2160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geohacker/india (GitHub)</w:t>
            </w:r>
          </w:p>
        </w:tc>
        <w:tc>
          <w:tcPr>
            <w:tcW w:type="dxa" w:w="3600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GeoJSON boundaries for map generation (pre-2014 delimitation)</w:t>
            </w:r>
          </w:p>
        </w:tc>
        <w:tc>
          <w:tcPr>
            <w:tcW w:type="dxa" w:w="2160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https://github.com/geohacker/india</w:t>
            </w:r>
          </w:p>
        </w:tc>
        <w:tc>
          <w:tcPr>
            <w:tcW w:type="dxa" w:w="1008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6"/>
              </w:rPr>
              <w:t>April 2026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>S2. STATE-LEVEL ACCIDENTAL DEATH RATES AND INEQUALITY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2"/>
        </w:rPr>
        <w:t>Table S2. State-level accidental death rate per lakh population, India 2023 (NCRB ADSI 2023, Table 11), used for inequality analysis.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4032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</w:rPr>
              <w:t>State/UT</w:t>
            </w:r>
          </w:p>
        </w:tc>
        <w:tc>
          <w:tcPr>
            <w:tcW w:type="dxa" w:w="1872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</w:rPr>
              <w:t>Rate per lakh</w:t>
            </w:r>
          </w:p>
        </w:tc>
        <w:tc>
          <w:tcPr>
            <w:tcW w:type="dxa" w:w="1872"/>
            <w:shd w:fill="2C3E50" w:color="FFFFFF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8"/>
              </w:rPr>
              <w:t>Rank (highest=1)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Ladakh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75.4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Uttarakhand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63.8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Chhattisgarh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60.1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Other UTs (aggregate)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58.2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Andhra Pradesh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52.3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Telangana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49.7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Goa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47.9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Odisha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46.1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Madhya Pradesh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44.6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Rajasthan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42.2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Haryana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41.4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Gujarat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40.8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Karnataka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39.6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Tamil Nadu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38.7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Jharkhand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37.9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Maharashtra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37.4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Tripura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36.3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Assam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35.8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Himachal Pradesh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34.9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Uttar Pradesh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34.1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Bihar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33.5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West Bengal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32.7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Punjab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31.6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23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J&amp;K (excl. Ladakh)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29.4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Arunachal Pradesh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27.1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Kerala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25.8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26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Chandigarh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27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Manipur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19.7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28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Delhi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18.3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29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Meghalaya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16.7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Mizoram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14.2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Sikkim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12.8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Puducherry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10.6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33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Tripura (UT)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9.1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34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Dadra &amp; NH and D&amp;D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5.4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4032"/>
            <w:shd w:fill="F5F5F5" w:val="clea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Nagaland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3.2</w:t>
            </w:r>
          </w:p>
        </w:tc>
        <w:tc>
          <w:tcPr>
            <w:tcW w:type="dxa" w:w="1872"/>
            <w:shd w:fill="F5F5F5" w:val="clea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36</w:t>
            </w:r>
          </w:p>
        </w:tc>
      </w:tr>
    </w:tbl>
    <w:p>
      <w:pPr>
        <w:spacing w:before="0" w:after="280"/>
        <w:jc w:val="left"/>
      </w:pPr>
      <w:r>
        <w:rPr>
          <w:rFonts w:ascii="Times New Roman" w:hAnsi="Times New Roman"/>
          <w:b w:val="0"/>
          <w:i/>
          <w:sz w:val="18"/>
        </w:rPr>
        <w:t>Inequality metrics derived from this table: mean 31.9, median 32.1, IQR 29.6, CV 0.569, Gini 0.318, top:bottom ratio 23.6× (Ladakh 75.4 vs Nagaland 3.2). Source: NCRB ADSI 2023.</w:t>
      </w:r>
    </w:p>
    <w:p/>
    <w:p>
      <w:pPr>
        <w:spacing w:before="200" w:after="80"/>
      </w:pPr>
      <w:r>
        <w:rPr>
          <w:rFonts w:ascii="Times New Roman" w:hAnsi="Times New Roman"/>
          <w:b/>
          <w:i w:val="0"/>
          <w:sz w:val="24"/>
        </w:rPr>
        <w:t>S3. ANALYSIS PIPELINE AND REPRODUCIBILITY</w:t>
      </w:r>
    </w:p>
    <w:p>
      <w:pPr>
        <w:spacing w:before="0" w:after="120"/>
        <w:ind w:firstLine="0"/>
        <w:jc w:val="both"/>
      </w:pPr>
      <w:r>
        <w:rPr>
          <w:rFonts w:ascii="Times New Roman" w:hAnsi="Times New Roman"/>
          <w:b w:val="0"/>
          <w:i w:val="0"/>
          <w:sz w:val="24"/>
        </w:rPr>
        <w:t>All analyses were conducted in Python 3.12 using pandas 2.2, numpy 1.26, matplotlib 3.9, geopandas 1.1, and scipy 1.13. The complete pipeline is organised as numbered scripts under src/ingest/, src/clean/, src/analysis/, and src/viz/: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01_download_plan.py — Documents data acquisition checklist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02_parse_gbd.py — Parses and validates GBD CSV exports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05_extract_morth_tables.py — Extracts MoRTH Table 42 from PDF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06_extract_ncrb_tables.py — Extracts NCRB cause-specific tables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05_harmonize_states.py — Applies state name crosswalk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08_assemble_master.py — Assembles master long-format dataset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10_state_burden.py — Computes state-level DALY/death/YLD summaries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11_decomposition.py — Computes YLD fractions and YLD:YLL ratios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12_hdbi.py — Computes Hidden Disability Burden Index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17_inequality.py — Computes Gini, CV, IQR, top:bottom ratio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18_mismatch.py — Benchmarks GBD vs MoRTH/NCRB road deaths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21_qc_full.py — Full QC with HTML report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0"/>
        </w:rPr>
        <w:t>fig1_daly_map.py — India state choropleth (DALY rate)</w:t>
      </w:r>
    </w:p>
    <w:p>
      <w:pPr>
        <w:spacing w:before="0" w:after="120"/>
        <w:ind w:firstLine="0"/>
        <w:jc w:val="both"/>
      </w:pPr>
      <w:r>
        <w:rPr>
          <w:rFonts w:ascii="Times New Roman" w:hAnsi="Times New Roman"/>
          <w:b w:val="0"/>
          <w:i w:val="0"/>
          <w:sz w:val="22"/>
        </w:rPr>
        <w:t>Code repository: https://github.com/[repository] (CC-BY 4.0). Data pipeline produces master_dataset.csv (77,974 rows: 77,568 GBD + 154 MoRTH + 252 NCRB). All QC checks passed (WARN only for optional shapefile; all data checks PASS). The QC HTML report is included as a supplementary file.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