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480" w:lineRule="auto"/>
        <w:jc w:val="center"/>
      </w:pPr>
      <w:r>
        <w:rPr>
          <w:b/>
          <w:i w:val="0"/>
          <w:sz w:val="24"/>
        </w:rPr>
        <w:t>Figures</w:t>
      </w:r>
    </w:p>
    <w:p>
      <w:pPr>
        <w:jc w:val="center"/>
      </w:pPr>
      <w:r>
        <w:drawing>
          <wp:inline xmlns:a="http://schemas.openxmlformats.org/drawingml/2006/main" xmlns:pic="http://schemas.openxmlformats.org/drawingml/2006/picture">
            <wp:extent cx="4754880" cy="5841710"/>
            <wp:docPr id="1" name="Picture 1"/>
            <wp:cNvGraphicFramePr>
              <a:graphicFrameLocks noChangeAspect="1"/>
            </wp:cNvGraphicFramePr>
            <a:graphic>
              <a:graphicData uri="http://schemas.openxmlformats.org/drawingml/2006/picture">
                <pic:pic>
                  <pic:nvPicPr>
                    <pic:cNvPr id="0" name="map_all_injury_rate.png"/>
                    <pic:cNvPicPr/>
                  </pic:nvPicPr>
                  <pic:blipFill>
                    <a:blip r:embed="rId9"/>
                    <a:stretch>
                      <a:fillRect/>
                    </a:stretch>
                  </pic:blipFill>
                  <pic:spPr>
                    <a:xfrm>
                      <a:off x="0" y="0"/>
                      <a:ext cx="4754880" cy="5841710"/>
                    </a:xfrm>
                    <a:prstGeom prst="rect"/>
                  </pic:spPr>
                </pic:pic>
              </a:graphicData>
            </a:graphic>
          </wp:inline>
        </w:drawing>
      </w:r>
    </w:p>
    <w:p>
      <w:pPr>
        <w:spacing w:after="240" w:line="240" w:lineRule="auto"/>
        <w:jc w:val="left"/>
      </w:pPr>
      <w:r>
        <w:rPr>
          <w:b w:val="0"/>
          <w:i w:val="0"/>
          <w:sz w:val="22"/>
        </w:rPr>
        <w:t>Figure 1. District-level all-injury mortality rate per 100 000 population (posterior mean, GBD/NCRB-fused), across all 711 Indian districts, 2023. Darker (higher-value) shading identifies the highest-burden districts, concentrated in a tribal corridor spanning Madhya Pradesh, Chhattisgarh and Maharashtra. Twelve districts in small union territories that share a single pooled national estimate (no separate GBD figure exists for them) are shown at that shared value and footnoted on the figure rather than left blank, so that every Indian district, including Jammu and Kashmir, Ladakh and Telangana, is depicted.</w:t>
      </w:r>
    </w:p>
    <w:p>
      <w:pPr>
        <w:jc w:val="center"/>
      </w:pPr>
      <w:r>
        <w:drawing>
          <wp:inline xmlns:a="http://schemas.openxmlformats.org/drawingml/2006/main" xmlns:pic="http://schemas.openxmlformats.org/drawingml/2006/picture">
            <wp:extent cx="4754880" cy="5841710"/>
            <wp:docPr id="2" name="Picture 2"/>
            <wp:cNvGraphicFramePr>
              <a:graphicFrameLocks noChangeAspect="1"/>
            </wp:cNvGraphicFramePr>
            <a:graphic>
              <a:graphicData uri="http://schemas.openxmlformats.org/drawingml/2006/picture">
                <pic:pic>
                  <pic:nvPicPr>
                    <pic:cNvPr id="0" name="map_all_injury_completeness.png"/>
                    <pic:cNvPicPr/>
                  </pic:nvPicPr>
                  <pic:blipFill>
                    <a:blip r:embed="rId10"/>
                    <a:stretch>
                      <a:fillRect/>
                    </a:stretch>
                  </pic:blipFill>
                  <pic:spPr>
                    <a:xfrm>
                      <a:off x="0" y="0"/>
                      <a:ext cx="4754880" cy="5841710"/>
                    </a:xfrm>
                    <a:prstGeom prst="rect"/>
                  </pic:spPr>
                </pic:pic>
              </a:graphicData>
            </a:graphic>
          </wp:inline>
        </w:drawing>
      </w:r>
    </w:p>
    <w:p>
      <w:pPr>
        <w:spacing w:after="240" w:line="240" w:lineRule="auto"/>
        <w:jc w:val="left"/>
      </w:pPr>
      <w:r>
        <w:rPr>
          <w:b w:val="0"/>
          <w:i w:val="0"/>
          <w:sz w:val="22"/>
        </w:rPr>
        <w:t>Figure 2. Estimated injury surveillance completeness (administrative NCRB deaths divided by the fused, GBD-informed true death estimate) by district, for the three anchored causes (all-injury, road, suicide) that can be validated against real sub-state records. Green indicates near-complete administrative recording; red indicates severe under-capture. The map reveals within-State gradients — generally higher completeness in urbanised districts and lower completeness across the eastern and north-eastern interior — that are invisible in State-level statistics.</w:t>
      </w:r>
    </w:p>
    <w:p>
      <w:pPr>
        <w:jc w:val="center"/>
      </w:pPr>
      <w:r>
        <w:drawing>
          <wp:inline xmlns:a="http://schemas.openxmlformats.org/drawingml/2006/main" xmlns:pic="http://schemas.openxmlformats.org/drawingml/2006/picture">
            <wp:extent cx="4754880" cy="5841710"/>
            <wp:docPr id="3" name="Picture 3"/>
            <wp:cNvGraphicFramePr>
              <a:graphicFrameLocks noChangeAspect="1"/>
            </wp:cNvGraphicFramePr>
            <a:graphic>
              <a:graphicData uri="http://schemas.openxmlformats.org/drawingml/2006/picture">
                <pic:pic>
                  <pic:nvPicPr>
                    <pic:cNvPr id="0" name="map_all_injury_uncertainty.png"/>
                    <pic:cNvPicPr/>
                  </pic:nvPicPr>
                  <pic:blipFill>
                    <a:blip r:embed="rId11"/>
                    <a:stretch>
                      <a:fillRect/>
                    </a:stretch>
                  </pic:blipFill>
                  <pic:spPr>
                    <a:xfrm>
                      <a:off x="0" y="0"/>
                      <a:ext cx="4754880" cy="5841710"/>
                    </a:xfrm>
                    <a:prstGeom prst="rect"/>
                  </pic:spPr>
                </pic:pic>
              </a:graphicData>
            </a:graphic>
          </wp:inline>
        </w:drawing>
      </w:r>
    </w:p>
    <w:p>
      <w:pPr>
        <w:spacing w:after="240" w:line="240" w:lineRule="auto"/>
        <w:jc w:val="left"/>
      </w:pPr>
      <w:r>
        <w:rPr>
          <w:b w:val="0"/>
          <w:i w:val="0"/>
          <w:sz w:val="22"/>
        </w:rPr>
        <w:t>Figure 3. Posterior uncertainty in the district all-injury mortality rate, shown as the width of the 95% credible interval. Wider intervals mark districts where the fused estimate is least precise, chiefly small-population and thinly-anchored districts; these should be interpreted with their full interval rather than the point estimate alone.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