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480" w:lineRule="auto"/>
        <w:jc w:val="center"/>
      </w:pPr>
      <w:r>
        <w:rPr>
          <w:b/>
          <w:i w:val="0"/>
          <w:sz w:val="24"/>
        </w:rPr>
        <w:t>Supplementary Material</w:t>
      </w:r>
    </w:p>
    <w:p>
      <w:pPr>
        <w:spacing w:after="240" w:line="480" w:lineRule="auto"/>
        <w:jc w:val="center"/>
      </w:pPr>
      <w:r>
        <w:rPr>
          <w:b w:val="0"/>
          <w:i/>
          <w:sz w:val="24"/>
        </w:rPr>
        <w:t>Where India's injury deaths go uncounted: a district atlas of fatal injury burden and surveillance completeness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S1. Model specification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For cause k and State s, the true death count T[s] followed a log-normal prior centred on the GBD estimate with scale set from the reported 95% uncertainty interval. The administrative count was modelled as Poisson with mean T[s]·c[s], where c[s] is the population-weighted mean of district completeness c[d]. District completeness followed logit(c[d]) = γ + η·urbanicity[d] + w[d]. The true district rate followed log λ[d] = α + Xβ + τ·φ[d] + v[d], with φ an ICAR field on the queen-contiguity district graph and v unstructured heterogeneity; λ[d] was rescaled within each State (or GBD-reporting bucket) so that the population-weighted mean equalled the fused State rate. City anchors contributed a Poisson likelihood with mean pop_city·λ[d]·c[d]. The priors on w and v were scaled per district by sqrt(pop[d] / median population), clipped to [0.15, 2.0], so that small-population districts — whose own heterogeneity term is only weakly constrained by the population-weighted benchmarking constraint — are shrunk more strongly toward the covariate/spatial structure, preventing implausible rates in thinly-populated districts. For the twelve districts in small union territories that GBD reports as a single pooled unit and that have no city anchor, the shared bucket-level R[state] and c[state] posterior draws are reported directly as the district estimate, rather than an unsupported district-specific disaggregation.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S2. Convergence</w:t>
      </w:r>
    </w:p>
    <w:p>
      <w:pPr>
        <w:spacing w:after="60" w:line="240" w:lineRule="auto"/>
        <w:jc w:val="left"/>
      </w:pPr>
      <w:r>
        <w:rPr>
          <w:b/>
          <w:i w:val="0"/>
          <w:sz w:val="24"/>
        </w:rPr>
        <w:t>Table S1. Convergence diagnostics by cause.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  <w:sz w:val="18"/>
              </w:rPr>
              <w:t>Cause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max R-hat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min ESS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Anchored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all_injury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498.0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208.0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falls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1.01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657.0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drowning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310.0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burns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517.0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suicide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773.0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True</w:t>
            </w:r>
          </w:p>
        </w:tc>
      </w:tr>
    </w:tbl>
    <w:p>
      <w:pPr>
        <w:spacing w:after="120" w:line="240" w:lineRule="auto"/>
        <w:jc w:val="both"/>
      </w:pPr>
      <w:r>
        <w:rPr>
          <w:b w:val="0"/>
          <w:i/>
          <w:sz w:val="18"/>
        </w:rPr>
        <w:t>R-hat &lt; 1.05 and effective sample size (ESS) indicate satisfactory convergence.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S3. Sensitivity analysis</w:t>
      </w:r>
    </w:p>
    <w:p>
      <w:pPr>
        <w:spacing w:after="60" w:line="240" w:lineRule="auto"/>
        <w:jc w:val="left"/>
      </w:pPr>
      <w:r>
        <w:rPr>
          <w:b/>
          <w:i w:val="0"/>
          <w:sz w:val="24"/>
        </w:rPr>
        <w:t>Table S2. Structural sensitivity (road), five-fold city cross-validation.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  <w:sz w:val="18"/>
              </w:rPr>
              <w:t>Variant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Cause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CV log-RMSE</w:t>
            </w:r>
          </w:p>
        </w:tc>
        <w:tc>
          <w:tcPr>
            <w:tcW w:type="dxa" w:w="2351"/>
          </w:tcPr>
          <w:p>
            <w:r/>
            <w:r>
              <w:rPr>
                <w:b/>
                <w:sz w:val="18"/>
              </w:rPr>
              <w:t>Mean completeness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0.813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no_icar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0.815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fix_eta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0.816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8"/>
              </w:rPr>
              <w:t>wide_eta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road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0.828</w:t>
            </w:r>
          </w:p>
        </w:tc>
        <w:tc>
          <w:tcPr>
            <w:tcW w:type="dxa" w:w="2351"/>
          </w:tcPr>
          <w:p>
            <w:r/>
            <w:r>
              <w:rPr>
                <w:sz w:val="18"/>
              </w:rPr>
              <w:t>0.3</w:t>
            </w:r>
          </w:p>
        </w:tc>
      </w:tr>
    </w:tbl>
    <w:p>
      <w:pPr>
        <w:spacing w:after="120" w:line="240" w:lineRule="auto"/>
        <w:jc w:val="both"/>
      </w:pPr>
      <w:r>
        <w:rPr>
          <w:b w:val="0"/>
          <w:i/>
          <w:sz w:val="18"/>
        </w:rPr>
        <w:t>base: full model; no_icar: spatial term removed; fix_eta: completeness held constant within State; wide_eta: diffuse completeness-slope prior.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S3b. Formal spatial model comparison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As a secondary check on the five-fold cross-validation reported in Table 3 and Table S2, we also computed PSIS-LOO on the held-out city-anchor likelihood for the spatial and non-spatial road models (n=45 anchor observations). Because the initial fits showed a poor Pareto-k reliability diagnostic, we explicitly tested whether this reflected inadequate sampling: both models were refitted with four chains, 2000 tuning and 2000 post-warm-up draws and a target acceptance rate of 0.995. This eliminated divergent transitions entirely (0 across both refitted models) but did not improve the Pareto-k diagnostic (Table S3), indicating that the unreliability is a structural consequence of comparing district-level models on only 45 anchor observations rather than an artefact of insufficient sampling. We therefore report this PSIS-LOO comparison as exploratory only; the five-fold cross-validation in Table S2, which measures genuine held-out predictive error directly rather than relying on the PSIS approximation, remains the primary evidence that the spatial term adds little to out-of-sample prediction for this cause.</w:t>
      </w:r>
    </w:p>
    <w:p>
      <w:pPr>
        <w:spacing w:after="60" w:line="240" w:lineRule="auto"/>
        <w:jc w:val="left"/>
      </w:pPr>
      <w:r>
        <w:rPr>
          <w:b/>
          <w:i w:val="0"/>
          <w:sz w:val="24"/>
        </w:rPr>
        <w:t>Table S3. PSIS-LOO comparison of the spatial (ICAR) and non-spatial (covariates only) district models, road cause.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elpd_loo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se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Divergences (refitted)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n anchors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Pareto k&lt;=0.7 (%)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Pareto k&gt;0.7 (%)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rank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elpd_diff</w:t>
            </w:r>
          </w:p>
        </w:tc>
        <w:tc>
          <w:tcPr>
            <w:tcW w:type="dxa" w:w="941"/>
          </w:tcPr>
          <w:p>
            <w:r/>
            <w:r>
              <w:rPr>
                <w:b/>
                <w:sz w:val="18"/>
              </w:rPr>
              <w:t>dse</w:t>
            </w:r>
          </w:p>
        </w:tc>
      </w:tr>
      <w:tr>
        <w:tc>
          <w:tcPr>
            <w:tcW w:type="dxa" w:w="941"/>
          </w:tcPr>
          <w:p>
            <w:r/>
            <w:r>
              <w:rPr>
                <w:sz w:val="18"/>
              </w:rPr>
              <w:t>spatial (ICAR)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-217.56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2.42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97.8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-0.0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1.1</w:t>
            </w:r>
          </w:p>
        </w:tc>
      </w:tr>
      <w:tr>
        <w:tc>
          <w:tcPr>
            <w:tcW w:type="dxa" w:w="941"/>
          </w:tcPr>
          <w:p>
            <w:r/>
            <w:r>
              <w:rPr>
                <w:sz w:val="18"/>
              </w:rPr>
              <w:t>non-spatial (covariates only)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-217.5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11.1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88.9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941"/>
          </w:tcPr>
          <w:p>
            <w:r/>
            <w:r>
              <w:rPr>
                <w:sz w:val="18"/>
              </w:rPr>
              <w:t>0.0</w:t>
            </w:r>
          </w:p>
        </w:tc>
      </w:tr>
    </w:tbl>
    <w:p>
      <w:pPr>
        <w:spacing w:after="120" w:line="240" w:lineRule="auto"/>
        <w:jc w:val="both"/>
      </w:pPr>
      <w:r>
        <w:rPr>
          <w:b w:val="0"/>
          <w:i/>
          <w:sz w:val="18"/>
        </w:rPr>
        <w:t>elpd_loo: expected log pointwise predictive density (higher is better); elpd_diff/dse: difference from the best model and its standard error. Pareto k diagnoses the reliability of the PSIS-LOO approximation at each held-out point; values above 0.7 indicate the approximation may be unreliable. Divergences (refitted) confirms the poor Pareto-k values are not attributable to inadequate sampling: both models were refitted with four chains and a 0.995 target acceptance rate and produced zero divergent transitions, yet Pareto-k did not improve, most likely reflecting the small anchor sample rather than a model or sampling failure. Evaluated on the held-out metropolitan-city anchor likelihood only.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S4. Per-cause maps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High-resolution rate, completeness and uncertainty choropleths for all six causes are provided in the figures folder of the code repository.</w:t>
      </w:r>
    </w:p>
    <w:p>
      <w:pPr>
        <w:spacing w:after="120" w:line="480" w:lineRule="auto"/>
        <w:jc w:val="left"/>
      </w:pPr>
      <w:r>
        <w:rPr>
          <w:b/>
          <w:i w:val="0"/>
          <w:sz w:val="24"/>
        </w:rPr>
        <w:t>S5. Data sources</w:t>
      </w:r>
    </w:p>
    <w:p>
      <w:pPr>
        <w:spacing w:after="120" w:line="360" w:lineRule="auto"/>
        <w:jc w:val="both"/>
      </w:pPr>
      <w:r>
        <w:rPr>
          <w:b w:val="0"/>
          <w:i w:val="0"/>
          <w:sz w:val="24"/>
        </w:rPr>
        <w:t>GBD 2023 (IHME); NCRB ADSI 2023 (Ministry of Home Affairs); Census of India 2011; NFHS-5 district factsheets (IIPS); district boundary compilation sourced from the Local Government Directory, Survey of India, Bhuvan and DataMeet. All public. Extraction and modelling code: https://github.com/hssling/injury-india-public-health.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